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532CF9">
        <w:t>chapter</w:t>
      </w:r>
      <w:bookmarkStart w:id="0" w:name="_GoBack"/>
      <w:bookmarkEnd w:id="0"/>
      <w:r w:rsidRPr="008911ED">
        <w:t xml:space="preserve">s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mammals. </w:t>
      </w:r>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0F3A34"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5816" w:history="1">
            <w:r w:rsidR="000F3A34" w:rsidRPr="00827349">
              <w:rPr>
                <w:rStyle w:val="Hyperlink"/>
                <w:noProof/>
              </w:rPr>
              <w:t>Introduction</w:t>
            </w:r>
            <w:r w:rsidR="000F3A34">
              <w:rPr>
                <w:noProof/>
                <w:webHidden/>
              </w:rPr>
              <w:tab/>
            </w:r>
            <w:r w:rsidR="000F3A34">
              <w:rPr>
                <w:noProof/>
                <w:webHidden/>
              </w:rPr>
              <w:fldChar w:fldCharType="begin"/>
            </w:r>
            <w:r w:rsidR="000F3A34">
              <w:rPr>
                <w:noProof/>
                <w:webHidden/>
              </w:rPr>
              <w:instrText xml:space="preserve"> PAGEREF _Toc535845816 \h </w:instrText>
            </w:r>
            <w:r w:rsidR="000F3A34">
              <w:rPr>
                <w:noProof/>
                <w:webHidden/>
              </w:rPr>
            </w:r>
            <w:r w:rsidR="000F3A34">
              <w:rPr>
                <w:noProof/>
                <w:webHidden/>
              </w:rPr>
              <w:fldChar w:fldCharType="separate"/>
            </w:r>
            <w:r w:rsidR="000F3A34">
              <w:rPr>
                <w:noProof/>
                <w:webHidden/>
              </w:rPr>
              <w:t>3</w:t>
            </w:r>
            <w:r w:rsidR="000F3A34">
              <w:rPr>
                <w:noProof/>
                <w:webHidden/>
              </w:rPr>
              <w:fldChar w:fldCharType="end"/>
            </w:r>
          </w:hyperlink>
        </w:p>
        <w:p w:rsidR="000F3A34" w:rsidRDefault="00532CF9">
          <w:pPr>
            <w:pStyle w:val="TOC1"/>
            <w:tabs>
              <w:tab w:val="right" w:leader="dot" w:pos="9016"/>
            </w:tabs>
            <w:rPr>
              <w:rFonts w:asciiTheme="minorHAnsi" w:eastAsiaTheme="minorEastAsia" w:hAnsiTheme="minorHAnsi" w:cstheme="minorBidi"/>
              <w:noProof/>
              <w:sz w:val="22"/>
              <w:szCs w:val="22"/>
              <w:lang w:eastAsia="en-GB"/>
            </w:rPr>
          </w:pPr>
          <w:hyperlink w:anchor="_Toc535845817" w:history="1">
            <w:r w:rsidR="000F3A34" w:rsidRPr="00827349">
              <w:rPr>
                <w:rStyle w:val="Hyperlink"/>
                <w:noProof/>
              </w:rPr>
              <w:t>Amphibians</w:t>
            </w:r>
            <w:r w:rsidR="000F3A34">
              <w:rPr>
                <w:noProof/>
                <w:webHidden/>
              </w:rPr>
              <w:tab/>
            </w:r>
            <w:r w:rsidR="000F3A34">
              <w:rPr>
                <w:noProof/>
                <w:webHidden/>
              </w:rPr>
              <w:fldChar w:fldCharType="begin"/>
            </w:r>
            <w:r w:rsidR="000F3A34">
              <w:rPr>
                <w:noProof/>
                <w:webHidden/>
              </w:rPr>
              <w:instrText xml:space="preserve"> PAGEREF _Toc535845817 \h </w:instrText>
            </w:r>
            <w:r w:rsidR="000F3A34">
              <w:rPr>
                <w:noProof/>
                <w:webHidden/>
              </w:rPr>
            </w:r>
            <w:r w:rsidR="000F3A34">
              <w:rPr>
                <w:noProof/>
                <w:webHidden/>
              </w:rPr>
              <w:fldChar w:fldCharType="separate"/>
            </w:r>
            <w:r w:rsidR="000F3A34">
              <w:rPr>
                <w:noProof/>
                <w:webHidden/>
              </w:rPr>
              <w:t>5</w:t>
            </w:r>
            <w:r w:rsidR="000F3A34">
              <w:rPr>
                <w:noProof/>
                <w:webHidden/>
              </w:rPr>
              <w:fldChar w:fldCharType="end"/>
            </w:r>
          </w:hyperlink>
        </w:p>
        <w:p w:rsidR="000F3A34" w:rsidRDefault="00532CF9">
          <w:pPr>
            <w:pStyle w:val="TOC2"/>
            <w:tabs>
              <w:tab w:val="right" w:leader="dot" w:pos="9016"/>
            </w:tabs>
            <w:rPr>
              <w:rFonts w:asciiTheme="minorHAnsi" w:eastAsiaTheme="minorEastAsia" w:hAnsiTheme="minorHAnsi" w:cstheme="minorBidi"/>
              <w:noProof/>
              <w:sz w:val="22"/>
              <w:szCs w:val="22"/>
              <w:lang w:eastAsia="en-GB"/>
            </w:rPr>
          </w:pPr>
          <w:hyperlink w:anchor="_Toc535845818" w:history="1">
            <w:r w:rsidR="000F3A34" w:rsidRPr="00827349">
              <w:rPr>
                <w:rStyle w:val="Hyperlink"/>
                <w:noProof/>
                <w:lang w:eastAsia="en-GB"/>
              </w:rPr>
              <w:t>Gymnophiona - caecilians</w:t>
            </w:r>
            <w:r w:rsidR="000F3A34">
              <w:rPr>
                <w:noProof/>
                <w:webHidden/>
              </w:rPr>
              <w:tab/>
            </w:r>
            <w:r w:rsidR="000F3A34">
              <w:rPr>
                <w:noProof/>
                <w:webHidden/>
              </w:rPr>
              <w:fldChar w:fldCharType="begin"/>
            </w:r>
            <w:r w:rsidR="000F3A34">
              <w:rPr>
                <w:noProof/>
                <w:webHidden/>
              </w:rPr>
              <w:instrText xml:space="preserve"> PAGEREF _Toc535845818 \h </w:instrText>
            </w:r>
            <w:r w:rsidR="000F3A34">
              <w:rPr>
                <w:noProof/>
                <w:webHidden/>
              </w:rPr>
            </w:r>
            <w:r w:rsidR="000F3A34">
              <w:rPr>
                <w:noProof/>
                <w:webHidden/>
              </w:rPr>
              <w:fldChar w:fldCharType="separate"/>
            </w:r>
            <w:r w:rsidR="000F3A34">
              <w:rPr>
                <w:noProof/>
                <w:webHidden/>
              </w:rPr>
              <w:t>5</w:t>
            </w:r>
            <w:r w:rsidR="000F3A34">
              <w:rPr>
                <w:noProof/>
                <w:webHidden/>
              </w:rPr>
              <w:fldChar w:fldCharType="end"/>
            </w:r>
          </w:hyperlink>
        </w:p>
        <w:p w:rsidR="000F3A34" w:rsidRDefault="00532CF9">
          <w:pPr>
            <w:pStyle w:val="TOC3"/>
            <w:tabs>
              <w:tab w:val="right" w:leader="dot" w:pos="9016"/>
            </w:tabs>
            <w:rPr>
              <w:rFonts w:asciiTheme="minorHAnsi" w:eastAsiaTheme="minorEastAsia" w:hAnsiTheme="minorHAnsi" w:cstheme="minorBidi"/>
              <w:noProof/>
              <w:sz w:val="22"/>
              <w:szCs w:val="22"/>
              <w:lang w:eastAsia="en-GB"/>
            </w:rPr>
          </w:pPr>
          <w:hyperlink w:anchor="_Toc535845819" w:history="1">
            <w:r w:rsidR="000F3A34" w:rsidRPr="00827349">
              <w:rPr>
                <w:rStyle w:val="Hyperlink"/>
                <w:noProof/>
                <w:lang w:eastAsia="en-GB"/>
              </w:rPr>
              <w:t>Diversity and Lower Taxonomy</w:t>
            </w:r>
            <w:r w:rsidR="000F3A34">
              <w:rPr>
                <w:noProof/>
                <w:webHidden/>
              </w:rPr>
              <w:tab/>
            </w:r>
            <w:r w:rsidR="000F3A34">
              <w:rPr>
                <w:noProof/>
                <w:webHidden/>
              </w:rPr>
              <w:fldChar w:fldCharType="begin"/>
            </w:r>
            <w:r w:rsidR="000F3A34">
              <w:rPr>
                <w:noProof/>
                <w:webHidden/>
              </w:rPr>
              <w:instrText xml:space="preserve"> PAGEREF _Toc535845819 \h </w:instrText>
            </w:r>
            <w:r w:rsidR="000F3A34">
              <w:rPr>
                <w:noProof/>
                <w:webHidden/>
              </w:rPr>
            </w:r>
            <w:r w:rsidR="000F3A34">
              <w:rPr>
                <w:noProof/>
                <w:webHidden/>
              </w:rPr>
              <w:fldChar w:fldCharType="separate"/>
            </w:r>
            <w:r w:rsidR="000F3A34">
              <w:rPr>
                <w:noProof/>
                <w:webHidden/>
              </w:rPr>
              <w:t>5</w:t>
            </w:r>
            <w:r w:rsidR="000F3A34">
              <w:rPr>
                <w:noProof/>
                <w:webHidden/>
              </w:rPr>
              <w:fldChar w:fldCharType="end"/>
            </w:r>
          </w:hyperlink>
        </w:p>
        <w:p w:rsidR="000F3A34" w:rsidRDefault="00532CF9">
          <w:pPr>
            <w:pStyle w:val="TOC3"/>
            <w:tabs>
              <w:tab w:val="right" w:leader="dot" w:pos="9016"/>
            </w:tabs>
            <w:rPr>
              <w:rFonts w:asciiTheme="minorHAnsi" w:eastAsiaTheme="minorEastAsia" w:hAnsiTheme="minorHAnsi" w:cstheme="minorBidi"/>
              <w:noProof/>
              <w:sz w:val="22"/>
              <w:szCs w:val="22"/>
              <w:lang w:eastAsia="en-GB"/>
            </w:rPr>
          </w:pPr>
          <w:hyperlink w:anchor="_Toc535845820" w:history="1">
            <w:r w:rsidR="000F3A34" w:rsidRPr="00827349">
              <w:rPr>
                <w:rStyle w:val="Hyperlink"/>
                <w:noProof/>
                <w:lang w:eastAsia="en-GB"/>
              </w:rPr>
              <w:t>Distribution and Habitat</w:t>
            </w:r>
            <w:r w:rsidR="000F3A34">
              <w:rPr>
                <w:noProof/>
                <w:webHidden/>
              </w:rPr>
              <w:tab/>
            </w:r>
            <w:r w:rsidR="000F3A34">
              <w:rPr>
                <w:noProof/>
                <w:webHidden/>
              </w:rPr>
              <w:fldChar w:fldCharType="begin"/>
            </w:r>
            <w:r w:rsidR="000F3A34">
              <w:rPr>
                <w:noProof/>
                <w:webHidden/>
              </w:rPr>
              <w:instrText xml:space="preserve"> PAGEREF _Toc535845820 \h </w:instrText>
            </w:r>
            <w:r w:rsidR="000F3A34">
              <w:rPr>
                <w:noProof/>
                <w:webHidden/>
              </w:rPr>
            </w:r>
            <w:r w:rsidR="000F3A34">
              <w:rPr>
                <w:noProof/>
                <w:webHidden/>
              </w:rPr>
              <w:fldChar w:fldCharType="separate"/>
            </w:r>
            <w:r w:rsidR="000F3A34">
              <w:rPr>
                <w:noProof/>
                <w:webHidden/>
              </w:rPr>
              <w:t>6</w:t>
            </w:r>
            <w:r w:rsidR="000F3A34">
              <w:rPr>
                <w:noProof/>
                <w:webHidden/>
              </w:rPr>
              <w:fldChar w:fldCharType="end"/>
            </w:r>
          </w:hyperlink>
        </w:p>
        <w:p w:rsidR="000F3A34" w:rsidRDefault="00532CF9">
          <w:pPr>
            <w:pStyle w:val="TOC3"/>
            <w:tabs>
              <w:tab w:val="right" w:leader="dot" w:pos="9016"/>
            </w:tabs>
            <w:rPr>
              <w:rFonts w:asciiTheme="minorHAnsi" w:eastAsiaTheme="minorEastAsia" w:hAnsiTheme="minorHAnsi" w:cstheme="minorBidi"/>
              <w:noProof/>
              <w:sz w:val="22"/>
              <w:szCs w:val="22"/>
              <w:lang w:eastAsia="en-GB"/>
            </w:rPr>
          </w:pPr>
          <w:hyperlink w:anchor="_Toc535845821" w:history="1">
            <w:r w:rsidR="000F3A34" w:rsidRPr="00827349">
              <w:rPr>
                <w:rStyle w:val="Hyperlink"/>
                <w:noProof/>
                <w:lang w:eastAsia="en-GB"/>
              </w:rPr>
              <w:t>Conservation Status (IUCN)</w:t>
            </w:r>
            <w:r w:rsidR="000F3A34">
              <w:rPr>
                <w:noProof/>
                <w:webHidden/>
              </w:rPr>
              <w:tab/>
            </w:r>
            <w:r w:rsidR="000F3A34">
              <w:rPr>
                <w:noProof/>
                <w:webHidden/>
              </w:rPr>
              <w:fldChar w:fldCharType="begin"/>
            </w:r>
            <w:r w:rsidR="000F3A34">
              <w:rPr>
                <w:noProof/>
                <w:webHidden/>
              </w:rPr>
              <w:instrText xml:space="preserve"> PAGEREF _Toc535845821 \h </w:instrText>
            </w:r>
            <w:r w:rsidR="000F3A34">
              <w:rPr>
                <w:noProof/>
                <w:webHidden/>
              </w:rPr>
            </w:r>
            <w:r w:rsidR="000F3A34">
              <w:rPr>
                <w:noProof/>
                <w:webHidden/>
              </w:rPr>
              <w:fldChar w:fldCharType="separate"/>
            </w:r>
            <w:r w:rsidR="000F3A34">
              <w:rPr>
                <w:noProof/>
                <w:webHidden/>
              </w:rPr>
              <w:t>6</w:t>
            </w:r>
            <w:r w:rsidR="000F3A34">
              <w:rPr>
                <w:noProof/>
                <w:webHidden/>
              </w:rPr>
              <w:fldChar w:fldCharType="end"/>
            </w:r>
          </w:hyperlink>
        </w:p>
        <w:p w:rsidR="000F3A34" w:rsidRDefault="00532CF9">
          <w:pPr>
            <w:pStyle w:val="TOC3"/>
            <w:tabs>
              <w:tab w:val="right" w:leader="dot" w:pos="9016"/>
            </w:tabs>
            <w:rPr>
              <w:rFonts w:asciiTheme="minorHAnsi" w:eastAsiaTheme="minorEastAsia" w:hAnsiTheme="minorHAnsi" w:cstheme="minorBidi"/>
              <w:noProof/>
              <w:sz w:val="22"/>
              <w:szCs w:val="22"/>
              <w:lang w:eastAsia="en-GB"/>
            </w:rPr>
          </w:pPr>
          <w:hyperlink w:anchor="_Toc535845822" w:history="1">
            <w:r w:rsidR="000F3A34" w:rsidRPr="00827349">
              <w:rPr>
                <w:rStyle w:val="Hyperlink"/>
                <w:noProof/>
                <w:lang w:eastAsia="en-GB"/>
              </w:rPr>
              <w:t>Features</w:t>
            </w:r>
            <w:r w:rsidR="000F3A34">
              <w:rPr>
                <w:noProof/>
                <w:webHidden/>
              </w:rPr>
              <w:tab/>
            </w:r>
            <w:r w:rsidR="000F3A34">
              <w:rPr>
                <w:noProof/>
                <w:webHidden/>
              </w:rPr>
              <w:fldChar w:fldCharType="begin"/>
            </w:r>
            <w:r w:rsidR="000F3A34">
              <w:rPr>
                <w:noProof/>
                <w:webHidden/>
              </w:rPr>
              <w:instrText xml:space="preserve"> PAGEREF _Toc535845822 \h </w:instrText>
            </w:r>
            <w:r w:rsidR="000F3A34">
              <w:rPr>
                <w:noProof/>
                <w:webHidden/>
              </w:rPr>
            </w:r>
            <w:r w:rsidR="000F3A34">
              <w:rPr>
                <w:noProof/>
                <w:webHidden/>
              </w:rPr>
              <w:fldChar w:fldCharType="separate"/>
            </w:r>
            <w:r w:rsidR="000F3A34">
              <w:rPr>
                <w:noProof/>
                <w:webHidden/>
              </w:rPr>
              <w:t>6</w:t>
            </w:r>
            <w:r w:rsidR="000F3A34">
              <w:rPr>
                <w:noProof/>
                <w:webHidden/>
              </w:rPr>
              <w:fldChar w:fldCharType="end"/>
            </w:r>
          </w:hyperlink>
        </w:p>
        <w:p w:rsidR="000F3A34" w:rsidRDefault="00532CF9">
          <w:pPr>
            <w:pStyle w:val="TOC2"/>
            <w:tabs>
              <w:tab w:val="right" w:leader="dot" w:pos="9016"/>
            </w:tabs>
            <w:rPr>
              <w:rFonts w:asciiTheme="minorHAnsi" w:eastAsiaTheme="minorEastAsia" w:hAnsiTheme="minorHAnsi" w:cstheme="minorBidi"/>
              <w:noProof/>
              <w:sz w:val="22"/>
              <w:szCs w:val="22"/>
              <w:lang w:eastAsia="en-GB"/>
            </w:rPr>
          </w:pPr>
          <w:hyperlink w:anchor="_Toc535845823" w:history="1">
            <w:r w:rsidR="000F3A34" w:rsidRPr="00827349">
              <w:rPr>
                <w:rStyle w:val="Hyperlink"/>
                <w:noProof/>
              </w:rPr>
              <w:t>Caudata - salamanders</w:t>
            </w:r>
            <w:r w:rsidR="000F3A34">
              <w:rPr>
                <w:noProof/>
                <w:webHidden/>
              </w:rPr>
              <w:tab/>
            </w:r>
            <w:r w:rsidR="000F3A34">
              <w:rPr>
                <w:noProof/>
                <w:webHidden/>
              </w:rPr>
              <w:fldChar w:fldCharType="begin"/>
            </w:r>
            <w:r w:rsidR="000F3A34">
              <w:rPr>
                <w:noProof/>
                <w:webHidden/>
              </w:rPr>
              <w:instrText xml:space="preserve"> PAGEREF _Toc535845823 \h </w:instrText>
            </w:r>
            <w:r w:rsidR="000F3A34">
              <w:rPr>
                <w:noProof/>
                <w:webHidden/>
              </w:rPr>
            </w:r>
            <w:r w:rsidR="000F3A34">
              <w:rPr>
                <w:noProof/>
                <w:webHidden/>
              </w:rPr>
              <w:fldChar w:fldCharType="separate"/>
            </w:r>
            <w:r w:rsidR="000F3A34">
              <w:rPr>
                <w:noProof/>
                <w:webHidden/>
              </w:rPr>
              <w:t>7</w:t>
            </w:r>
            <w:r w:rsidR="000F3A34">
              <w:rPr>
                <w:noProof/>
                <w:webHidden/>
              </w:rPr>
              <w:fldChar w:fldCharType="end"/>
            </w:r>
          </w:hyperlink>
        </w:p>
        <w:p w:rsidR="000F3A34" w:rsidRDefault="00532CF9">
          <w:pPr>
            <w:pStyle w:val="TOC3"/>
            <w:tabs>
              <w:tab w:val="right" w:leader="dot" w:pos="9016"/>
            </w:tabs>
            <w:rPr>
              <w:rFonts w:asciiTheme="minorHAnsi" w:eastAsiaTheme="minorEastAsia" w:hAnsiTheme="minorHAnsi" w:cstheme="minorBidi"/>
              <w:noProof/>
              <w:sz w:val="22"/>
              <w:szCs w:val="22"/>
              <w:lang w:eastAsia="en-GB"/>
            </w:rPr>
          </w:pPr>
          <w:hyperlink w:anchor="_Toc535845824" w:history="1">
            <w:r w:rsidR="000F3A34" w:rsidRPr="00827349">
              <w:rPr>
                <w:rStyle w:val="Hyperlink"/>
                <w:noProof/>
              </w:rPr>
              <w:t>Distribution and Habitat</w:t>
            </w:r>
            <w:r w:rsidR="000F3A34">
              <w:rPr>
                <w:noProof/>
                <w:webHidden/>
              </w:rPr>
              <w:tab/>
            </w:r>
            <w:r w:rsidR="000F3A34">
              <w:rPr>
                <w:noProof/>
                <w:webHidden/>
              </w:rPr>
              <w:fldChar w:fldCharType="begin"/>
            </w:r>
            <w:r w:rsidR="000F3A34">
              <w:rPr>
                <w:noProof/>
                <w:webHidden/>
              </w:rPr>
              <w:instrText xml:space="preserve"> PAGEREF _Toc535845824 \h </w:instrText>
            </w:r>
            <w:r w:rsidR="000F3A34">
              <w:rPr>
                <w:noProof/>
                <w:webHidden/>
              </w:rPr>
            </w:r>
            <w:r w:rsidR="000F3A34">
              <w:rPr>
                <w:noProof/>
                <w:webHidden/>
              </w:rPr>
              <w:fldChar w:fldCharType="separate"/>
            </w:r>
            <w:r w:rsidR="000F3A34">
              <w:rPr>
                <w:noProof/>
                <w:webHidden/>
              </w:rPr>
              <w:t>7</w:t>
            </w:r>
            <w:r w:rsidR="000F3A34">
              <w:rPr>
                <w:noProof/>
                <w:webHidden/>
              </w:rPr>
              <w:fldChar w:fldCharType="end"/>
            </w:r>
          </w:hyperlink>
        </w:p>
        <w:p w:rsidR="000F3A34" w:rsidRDefault="00532CF9">
          <w:pPr>
            <w:pStyle w:val="TOC2"/>
            <w:tabs>
              <w:tab w:val="right" w:leader="dot" w:pos="9016"/>
            </w:tabs>
            <w:rPr>
              <w:rFonts w:asciiTheme="minorHAnsi" w:eastAsiaTheme="minorEastAsia" w:hAnsiTheme="minorHAnsi" w:cstheme="minorBidi"/>
              <w:noProof/>
              <w:sz w:val="22"/>
              <w:szCs w:val="22"/>
              <w:lang w:eastAsia="en-GB"/>
            </w:rPr>
          </w:pPr>
          <w:hyperlink w:anchor="_Toc535845825" w:history="1">
            <w:r w:rsidR="000F3A34" w:rsidRPr="00827349">
              <w:rPr>
                <w:rStyle w:val="Hyperlink"/>
                <w:noProof/>
              </w:rPr>
              <w:t>Anura - frogs and toads</w:t>
            </w:r>
            <w:r w:rsidR="000F3A34">
              <w:rPr>
                <w:noProof/>
                <w:webHidden/>
              </w:rPr>
              <w:tab/>
            </w:r>
            <w:r w:rsidR="000F3A34">
              <w:rPr>
                <w:noProof/>
                <w:webHidden/>
              </w:rPr>
              <w:fldChar w:fldCharType="begin"/>
            </w:r>
            <w:r w:rsidR="000F3A34">
              <w:rPr>
                <w:noProof/>
                <w:webHidden/>
              </w:rPr>
              <w:instrText xml:space="preserve"> PAGEREF _Toc535845825 \h </w:instrText>
            </w:r>
            <w:r w:rsidR="000F3A34">
              <w:rPr>
                <w:noProof/>
                <w:webHidden/>
              </w:rPr>
            </w:r>
            <w:r w:rsidR="000F3A34">
              <w:rPr>
                <w:noProof/>
                <w:webHidden/>
              </w:rPr>
              <w:fldChar w:fldCharType="separate"/>
            </w:r>
            <w:r w:rsidR="000F3A34">
              <w:rPr>
                <w:noProof/>
                <w:webHidden/>
              </w:rPr>
              <w:t>8</w:t>
            </w:r>
            <w:r w:rsidR="000F3A34">
              <w:rPr>
                <w:noProof/>
                <w:webHidden/>
              </w:rPr>
              <w:fldChar w:fldCharType="end"/>
            </w:r>
          </w:hyperlink>
        </w:p>
        <w:p w:rsidR="000F3A34" w:rsidRDefault="00532CF9">
          <w:pPr>
            <w:pStyle w:val="TOC3"/>
            <w:tabs>
              <w:tab w:val="right" w:leader="dot" w:pos="9016"/>
            </w:tabs>
            <w:rPr>
              <w:rFonts w:asciiTheme="minorHAnsi" w:eastAsiaTheme="minorEastAsia" w:hAnsiTheme="minorHAnsi" w:cstheme="minorBidi"/>
              <w:noProof/>
              <w:sz w:val="22"/>
              <w:szCs w:val="22"/>
              <w:lang w:eastAsia="en-GB"/>
            </w:rPr>
          </w:pPr>
          <w:hyperlink w:anchor="_Toc535845826" w:history="1">
            <w:r w:rsidR="000F3A34" w:rsidRPr="00827349">
              <w:rPr>
                <w:rStyle w:val="Hyperlink"/>
                <w:noProof/>
              </w:rPr>
              <w:t>Features</w:t>
            </w:r>
            <w:r w:rsidR="000F3A34">
              <w:rPr>
                <w:noProof/>
                <w:webHidden/>
              </w:rPr>
              <w:tab/>
            </w:r>
            <w:r w:rsidR="000F3A34">
              <w:rPr>
                <w:noProof/>
                <w:webHidden/>
              </w:rPr>
              <w:fldChar w:fldCharType="begin"/>
            </w:r>
            <w:r w:rsidR="000F3A34">
              <w:rPr>
                <w:noProof/>
                <w:webHidden/>
              </w:rPr>
              <w:instrText xml:space="preserve"> PAGEREF _Toc535845826 \h </w:instrText>
            </w:r>
            <w:r w:rsidR="000F3A34">
              <w:rPr>
                <w:noProof/>
                <w:webHidden/>
              </w:rPr>
            </w:r>
            <w:r w:rsidR="000F3A34">
              <w:rPr>
                <w:noProof/>
                <w:webHidden/>
              </w:rPr>
              <w:fldChar w:fldCharType="separate"/>
            </w:r>
            <w:r w:rsidR="000F3A34">
              <w:rPr>
                <w:noProof/>
                <w:webHidden/>
              </w:rPr>
              <w:t>8</w:t>
            </w:r>
            <w:r w:rsidR="000F3A34">
              <w:rPr>
                <w:noProof/>
                <w:webHidden/>
              </w:rPr>
              <w:fldChar w:fldCharType="end"/>
            </w:r>
          </w:hyperlink>
        </w:p>
        <w:p w:rsidR="000F3A34" w:rsidRDefault="00532CF9">
          <w:pPr>
            <w:pStyle w:val="TOC1"/>
            <w:tabs>
              <w:tab w:val="right" w:leader="dot" w:pos="9016"/>
            </w:tabs>
            <w:rPr>
              <w:rFonts w:asciiTheme="minorHAnsi" w:eastAsiaTheme="minorEastAsia" w:hAnsiTheme="minorHAnsi" w:cstheme="minorBidi"/>
              <w:noProof/>
              <w:sz w:val="22"/>
              <w:szCs w:val="22"/>
              <w:lang w:eastAsia="en-GB"/>
            </w:rPr>
          </w:pPr>
          <w:hyperlink w:anchor="_Toc535845827" w:history="1">
            <w:r w:rsidR="000F3A34" w:rsidRPr="00827349">
              <w:rPr>
                <w:rStyle w:val="Hyperlink"/>
                <w:noProof/>
              </w:rPr>
              <w:t>Glossary</w:t>
            </w:r>
            <w:r w:rsidR="000F3A34">
              <w:rPr>
                <w:noProof/>
                <w:webHidden/>
              </w:rPr>
              <w:tab/>
            </w:r>
            <w:r w:rsidR="000F3A34">
              <w:rPr>
                <w:noProof/>
                <w:webHidden/>
              </w:rPr>
              <w:fldChar w:fldCharType="begin"/>
            </w:r>
            <w:r w:rsidR="000F3A34">
              <w:rPr>
                <w:noProof/>
                <w:webHidden/>
              </w:rPr>
              <w:instrText xml:space="preserve"> PAGEREF _Toc535845827 \h </w:instrText>
            </w:r>
            <w:r w:rsidR="000F3A34">
              <w:rPr>
                <w:noProof/>
                <w:webHidden/>
              </w:rPr>
            </w:r>
            <w:r w:rsidR="000F3A34">
              <w:rPr>
                <w:noProof/>
                <w:webHidden/>
              </w:rPr>
              <w:fldChar w:fldCharType="separate"/>
            </w:r>
            <w:r w:rsidR="000F3A34">
              <w:rPr>
                <w:noProof/>
                <w:webHidden/>
              </w:rPr>
              <w:t>9</w:t>
            </w:r>
            <w:r w:rsidR="000F3A34">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DA700C" w:rsidRPr="0092076C" w:rsidRDefault="00DA700C" w:rsidP="00DA700C">
      <w:pPr>
        <w:pStyle w:val="Heading1"/>
      </w:pPr>
      <w:bookmarkStart w:id="1" w:name="_Chondrichthyes"/>
      <w:bookmarkStart w:id="2" w:name="_Lobe-finned_Fishes"/>
      <w:bookmarkStart w:id="3" w:name="_Toc535845450"/>
      <w:bookmarkStart w:id="4" w:name="_Toc535845817"/>
      <w:bookmarkEnd w:id="1"/>
      <w:bookmarkEnd w:id="2"/>
      <w:r w:rsidRPr="0092076C">
        <w:lastRenderedPageBreak/>
        <w:t>Introduction</w:t>
      </w:r>
      <w:bookmarkEnd w:id="3"/>
      <w:r w:rsidRPr="0092076C">
        <w:t xml:space="preserve"> </w:t>
      </w:r>
    </w:p>
    <w:p w:rsidR="00DA700C" w:rsidRDefault="00DA700C" w:rsidP="00DA700C"/>
    <w:p w:rsidR="00DA700C" w:rsidRDefault="00DA700C" w:rsidP="00DA700C">
      <w:r w:rsidRPr="00287698">
        <w:t xml:space="preserve">The first </w:t>
      </w:r>
      <w:r>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DA700C" w:rsidRPr="00BD6EDD" w:rsidRDefault="00DA700C" w:rsidP="00DA700C">
      <w:pPr>
        <w:rPr>
          <w:b/>
        </w:rPr>
      </w:pPr>
    </w:p>
    <w:p w:rsidR="00DA700C" w:rsidRDefault="00DA700C" w:rsidP="00DA700C">
      <w:r w:rsidRPr="00287698">
        <w:t xml:space="preserve">Subsequent </w:t>
      </w:r>
      <w:r>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t>chapters</w:t>
      </w:r>
      <w:r w:rsidRPr="00287698">
        <w:t xml:space="preserve"> are clustered together. This structure need not imply any increase in complexity or morphological "progress" as one descends through the </w:t>
      </w:r>
      <w:r>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xml:space="preserve">, meaning that it has some members that are still living, and are therefore also evolving under the selection pressures of their current environment. Rather, the structure reflects the greater focus of this web-book on those four-limbed vertebrates (tetrapods) whose ancestors colonised the terrestrial world in the Devonian swamps of nearly 400 million years ago - in particular the hair-covered, milk-producing mammals. </w:t>
      </w:r>
    </w:p>
    <w:p w:rsidR="00DA700C" w:rsidRPr="00287698" w:rsidRDefault="00DA700C" w:rsidP="00DA700C"/>
    <w:p w:rsidR="00DA700C" w:rsidRPr="00287698" w:rsidRDefault="00DA700C" w:rsidP="00DA700C">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DA700C" w:rsidRDefault="00DA700C" w:rsidP="00DA700C"/>
    <w:p w:rsidR="00DA700C" w:rsidRDefault="00DA700C" w:rsidP="00DA700C">
      <w:r>
        <w:rPr>
          <w:noProof/>
          <w:lang w:eastAsia="en-GB"/>
        </w:rPr>
        <w:drawing>
          <wp:inline distT="0" distB="0" distL="0" distR="0" wp14:anchorId="22F3643D" wp14:editId="6E5934ED">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DA700C" w:rsidRDefault="00DA700C" w:rsidP="00DA700C"/>
    <w:p w:rsidR="00DA700C" w:rsidRDefault="00DA700C" w:rsidP="00DA700C">
      <w:r w:rsidRPr="00287698">
        <w:t xml:space="preserve">Adapted from Meyer &amp; Zardoya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polytomies - those nodes that are formed when greater than two branches coalesce. </w:t>
      </w:r>
    </w:p>
    <w:p w:rsidR="00DA700C" w:rsidRPr="00287698" w:rsidRDefault="00DA700C" w:rsidP="00DA700C"/>
    <w:p w:rsidR="00DA700C" w:rsidRDefault="00DA700C" w:rsidP="00DA700C">
      <w:r w:rsidRPr="00287698">
        <w:t xml:space="preserve">For example, the most popular view of morphologists is that lampreys represent the closest living relatives of the jawed vertebrates (Gnathostomata), together forming the Vertebrata. This hypothesis excludes hagfishes from the vertebrates on the basis that they do not possess some of the derived morphological features shared by lampreys and gnathostomes - in particular, they lack a vertebral column. Instead, hagfishes are placed as the sister group to the vertebrates, together forming the Craniata (or craniates) - animals possessing a skull, or cranium. This view of craniate evolution makes the living jawless vertebrates, or agnathans,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DA700C" w:rsidRPr="00287698" w:rsidRDefault="00DA700C" w:rsidP="00DA700C"/>
    <w:p w:rsidR="00DA700C" w:rsidRDefault="00DA700C" w:rsidP="00DA700C">
      <w:r w:rsidRPr="00287698">
        <w:t xml:space="preserve">In contrast, molecular data tend to group the lampreys and hagfishes to the exclusion of the gnathostomes, making the living agnathans a </w:t>
      </w:r>
      <w:hyperlink r:id="rId41" w:anchor="zoomoodle_glossary_monophyletic" w:tooltip="Glossary: monophyletic" w:history="1">
        <w:r w:rsidRPr="00287698">
          <w:rPr>
            <w:rStyle w:val="Hyperlink"/>
          </w:rPr>
          <w:t>monophyletic</w:t>
        </w:r>
      </w:hyperlink>
      <w:r w:rsidRPr="00287698">
        <w:t xml:space="preserve"> group termed Cyclostomi. Under the cyclostome hypothesis, it is presumed that the common ancestor of the cyclostomes and gnathostomes possessed a vertebral column, which was subsequently lost in the evolution of the hagfishes. </w:t>
      </w:r>
    </w:p>
    <w:p w:rsidR="00DA700C" w:rsidRPr="00287698" w:rsidRDefault="00DA700C" w:rsidP="00DA700C"/>
    <w:p w:rsidR="00DA700C" w:rsidRPr="00287698" w:rsidRDefault="00DA700C" w:rsidP="00DA700C">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DA700C" w:rsidRDefault="00DA700C" w:rsidP="00DA700C">
      <w:r>
        <w:br w:type="page"/>
      </w:r>
    </w:p>
    <w:p w:rsidR="00287698" w:rsidRDefault="00287698" w:rsidP="0092076C">
      <w:pPr>
        <w:pStyle w:val="Heading1"/>
      </w:pPr>
      <w:r>
        <w:lastRenderedPageBreak/>
        <w:t>Amphibians</w:t>
      </w:r>
      <w:bookmarkEnd w:id="4"/>
    </w:p>
    <w:p w:rsidR="0092076C" w:rsidRDefault="0092076C" w:rsidP="0092076C">
      <w:pPr>
        <w:rPr>
          <w:lang w:eastAsia="en-GB"/>
        </w:rPr>
      </w:pPr>
    </w:p>
    <w:p w:rsidR="009629E3" w:rsidRPr="009629E3" w:rsidRDefault="009629E3" w:rsidP="009629E3">
      <w:pPr>
        <w:rPr>
          <w:b/>
          <w:bCs/>
          <w:lang w:eastAsia="en-GB"/>
        </w:rPr>
      </w:pPr>
      <w:r w:rsidRPr="009629E3">
        <w:rPr>
          <w:b/>
          <w:bCs/>
          <w:lang w:eastAsia="en-GB"/>
        </w:rPr>
        <w:t>Lissamphibia - frogs, salamanders, and caecilians</w:t>
      </w:r>
    </w:p>
    <w:p w:rsidR="009629E3" w:rsidRPr="009629E3" w:rsidRDefault="009629E3" w:rsidP="009629E3">
      <w:pPr>
        <w:rPr>
          <w:lang w:eastAsia="en-GB"/>
        </w:rPr>
      </w:pPr>
      <w:r w:rsidRPr="009629E3">
        <w:rPr>
          <w:lang w:eastAsia="en-GB"/>
        </w:rPr>
        <w:t xml:space="preserve">  </w:t>
      </w:r>
    </w:p>
    <w:tbl>
      <w:tblPr>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9629E3" w:rsidRPr="009629E3"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9629E3" w:rsidRPr="009629E3" w:rsidRDefault="009629E3" w:rsidP="009629E3">
            <w:pPr>
              <w:rPr>
                <w:lang w:eastAsia="en-GB"/>
              </w:rPr>
            </w:pPr>
            <w:r w:rsidRPr="009629E3">
              <w:rPr>
                <w:lang w:eastAsia="en-GB"/>
              </w:rPr>
              <w:t>Vertebrata; Gnathostomata; Osteichthyes;</w:t>
            </w:r>
            <w:r w:rsidRPr="009629E3">
              <w:rPr>
                <w:lang w:eastAsia="en-GB"/>
              </w:rPr>
              <w:br/>
              <w:t>Sarcopterygii; Tetrapoda;</w:t>
            </w:r>
            <w:r w:rsidRPr="009629E3">
              <w:rPr>
                <w:b/>
                <w:bCs/>
                <w:lang w:eastAsia="en-GB"/>
              </w:rPr>
              <w:t xml:space="preserve"> Lissamphibia</w:t>
            </w:r>
          </w:p>
        </w:tc>
      </w:tr>
    </w:tbl>
    <w:p w:rsidR="009629E3" w:rsidRDefault="009629E3" w:rsidP="009629E3">
      <w:pPr>
        <w:rPr>
          <w:lang w:eastAsia="en-GB"/>
        </w:rPr>
      </w:pPr>
    </w:p>
    <w:p w:rsidR="009629E3" w:rsidRPr="009629E3" w:rsidRDefault="009629E3" w:rsidP="009629E3">
      <w:pPr>
        <w:rPr>
          <w:lang w:eastAsia="en-GB"/>
        </w:rPr>
      </w:pPr>
      <w:r w:rsidRPr="009629E3">
        <w:rPr>
          <w:lang w:eastAsia="en-GB"/>
        </w:rPr>
        <w:t xml:space="preserve">The following three </w:t>
      </w:r>
      <w:r>
        <w:rPr>
          <w:lang w:eastAsia="en-GB"/>
        </w:rPr>
        <w:t>heading</w:t>
      </w:r>
      <w:r w:rsidRPr="009629E3">
        <w:rPr>
          <w:lang w:eastAsia="en-GB"/>
        </w:rPr>
        <w:t xml:space="preserve">s outline the diversity of three living orders of amphibians - </w:t>
      </w:r>
      <w:hyperlink w:anchor="_Gymnophiona_-_caecilians" w:history="1">
        <w:r w:rsidRPr="00847445">
          <w:rPr>
            <w:rStyle w:val="Hyperlink"/>
            <w:b/>
            <w:bCs/>
            <w:lang w:eastAsia="en-GB"/>
          </w:rPr>
          <w:t>Gymnophiona</w:t>
        </w:r>
      </w:hyperlink>
      <w:hyperlink r:id="rId44" w:anchor="gymnophiona" w:history="1">
        <w:r w:rsidRPr="009629E3">
          <w:rPr>
            <w:rStyle w:val="Hyperlink"/>
            <w:lang w:eastAsia="en-GB"/>
          </w:rPr>
          <w:t xml:space="preserve"> </w:t>
        </w:r>
      </w:hyperlink>
      <w:r w:rsidRPr="009629E3">
        <w:rPr>
          <w:lang w:eastAsia="en-GB"/>
        </w:rPr>
        <w:t xml:space="preserve">(caecilians), </w:t>
      </w:r>
      <w:hyperlink w:anchor="_Caudata_-_salamanders" w:history="1">
        <w:r w:rsidRPr="00847445">
          <w:rPr>
            <w:rStyle w:val="Hyperlink"/>
            <w:b/>
            <w:bCs/>
            <w:lang w:eastAsia="en-GB"/>
          </w:rPr>
          <w:t>Urodela</w:t>
        </w:r>
      </w:hyperlink>
      <w:r w:rsidRPr="009629E3">
        <w:rPr>
          <w:lang w:eastAsia="en-GB"/>
        </w:rPr>
        <w:t xml:space="preserve"> (salamanders and newts), and </w:t>
      </w:r>
      <w:hyperlink w:anchor="_Anura_-_frogs" w:history="1">
        <w:r w:rsidRPr="00847445">
          <w:rPr>
            <w:rStyle w:val="Hyperlink"/>
            <w:b/>
            <w:bCs/>
            <w:lang w:eastAsia="en-GB"/>
          </w:rPr>
          <w:t>Anura</w:t>
        </w:r>
      </w:hyperlink>
      <w:r w:rsidRPr="009629E3">
        <w:rPr>
          <w:lang w:eastAsia="en-GB"/>
        </w:rPr>
        <w:t xml:space="preserve"> (frogs and toads).</w:t>
      </w:r>
    </w:p>
    <w:p w:rsidR="009629E3" w:rsidRDefault="009629E3" w:rsidP="0092076C">
      <w:pPr>
        <w:rPr>
          <w:lang w:eastAsia="en-GB"/>
        </w:rPr>
      </w:pPr>
    </w:p>
    <w:p w:rsidR="00195461" w:rsidRDefault="00195461" w:rsidP="0092076C">
      <w:pPr>
        <w:rPr>
          <w:lang w:eastAsia="en-GB"/>
        </w:rPr>
      </w:pPr>
    </w:p>
    <w:p w:rsidR="009629E3" w:rsidRPr="009629E3" w:rsidRDefault="009629E3" w:rsidP="00847445">
      <w:pPr>
        <w:pStyle w:val="Heading2"/>
        <w:rPr>
          <w:lang w:eastAsia="en-GB"/>
        </w:rPr>
      </w:pPr>
      <w:bookmarkStart w:id="5" w:name="_Gymnophiona_-_caecilians"/>
      <w:bookmarkStart w:id="6" w:name="_Toc535845818"/>
      <w:bookmarkEnd w:id="5"/>
      <w:r w:rsidRPr="009629E3">
        <w:rPr>
          <w:lang w:eastAsia="en-GB"/>
        </w:rPr>
        <w:t>Gymnophiona - caecilians</w:t>
      </w:r>
      <w:bookmarkEnd w:id="6"/>
      <w:r w:rsidR="00847445">
        <w:rPr>
          <w:lang w:eastAsia="en-GB"/>
        </w:rPr>
        <w:fldChar w:fldCharType="begin"/>
      </w:r>
      <w:r w:rsidR="00847445">
        <w:instrText xml:space="preserve"> TA \l "</w:instrText>
      </w:r>
      <w:r w:rsidR="00847445" w:rsidRPr="00D72A19">
        <w:rPr>
          <w:lang w:eastAsia="en-GB"/>
        </w:rPr>
        <w:instrText>Gymnophiona - caecilians</w:instrText>
      </w:r>
      <w:r w:rsidR="00847445">
        <w:instrText xml:space="preserve">" \s "Gymnophiona - caecilians" \c 1 </w:instrText>
      </w:r>
      <w:r w:rsidR="00847445">
        <w:rPr>
          <w:lang w:eastAsia="en-GB"/>
        </w:rPr>
        <w:fldChar w:fldCharType="end"/>
      </w:r>
      <w:r w:rsidRPr="009629E3">
        <w:rPr>
          <w:lang w:eastAsia="en-GB"/>
        </w:rPr>
        <w:t xml:space="preserve"> </w:t>
      </w:r>
    </w:p>
    <w:p w:rsidR="009629E3" w:rsidRPr="009629E3" w:rsidRDefault="009629E3" w:rsidP="009629E3">
      <w:pPr>
        <w:rPr>
          <w:lang w:eastAsia="en-GB"/>
        </w:rPr>
      </w:pPr>
      <w:r w:rsidRPr="009629E3">
        <w:rPr>
          <w:lang w:eastAsia="en-GB"/>
        </w:rPr>
        <w:t xml:space="preserve">  </w:t>
      </w:r>
    </w:p>
    <w:tbl>
      <w:tblPr>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9629E3" w:rsidRPr="009629E3"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9629E3" w:rsidRPr="009629E3" w:rsidRDefault="009629E3" w:rsidP="009629E3">
            <w:pPr>
              <w:rPr>
                <w:lang w:eastAsia="en-GB"/>
              </w:rPr>
            </w:pPr>
            <w:r w:rsidRPr="009629E3">
              <w:rPr>
                <w:lang w:eastAsia="en-GB"/>
              </w:rPr>
              <w:t xml:space="preserve">Vertebrata; Gnathostomata; Osteichthyes; Sarcopterygii; Tetrapoda; Lissamphibia; </w:t>
            </w:r>
            <w:r w:rsidRPr="009629E3">
              <w:rPr>
                <w:b/>
                <w:bCs/>
                <w:lang w:eastAsia="en-GB"/>
              </w:rPr>
              <w:t>Gymnophiona</w:t>
            </w:r>
          </w:p>
        </w:tc>
      </w:tr>
    </w:tbl>
    <w:p w:rsidR="009629E3" w:rsidRPr="009629E3" w:rsidRDefault="009629E3" w:rsidP="009629E3">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2874"/>
        <w:gridCol w:w="2973"/>
        <w:gridCol w:w="2963"/>
        <w:gridCol w:w="156"/>
      </w:tblGrid>
      <w:tr w:rsidR="009629E3" w:rsidRPr="009629E3" w:rsidTr="009629E3">
        <w:trPr>
          <w:tblCellSpacing w:w="0" w:type="dxa"/>
        </w:trPr>
        <w:tc>
          <w:tcPr>
            <w:tcW w:w="0" w:type="auto"/>
            <w:vAlign w:val="center"/>
            <w:hideMark/>
          </w:tcPr>
          <w:p w:rsidR="009629E3" w:rsidRPr="009629E3" w:rsidRDefault="009629E3" w:rsidP="009629E3">
            <w:pPr>
              <w:rPr>
                <w:lang w:eastAsia="en-GB"/>
              </w:rPr>
            </w:pPr>
            <w:r w:rsidRPr="009629E3">
              <w:rPr>
                <w:noProof/>
                <w:lang w:eastAsia="en-GB"/>
              </w:rPr>
              <w:drawing>
                <wp:inline distT="0" distB="0" distL="0" distR="0">
                  <wp:extent cx="1216025" cy="1216025"/>
                  <wp:effectExtent l="0" t="0" r="0" b="3175"/>
                  <wp:docPr id="60" name="Picture 60" descr="Show Caecilian skeleton - whole body view showing limblessness and elongate trunk Image">
                    <a:hlinkClick xmlns:a="http://schemas.openxmlformats.org/drawingml/2006/main" r:id="rId44" tooltip="&quot;Show Caecilian skeleton - whole body view showing limblessness and elongate trunk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how Caecilian skeleton - whole body view showing limblessness and elongate trunk Image">
                            <a:hlinkClick r:id="rId44" tooltip="&quot;Show Caecilian skeleton - whole body view showing limblessness and elongate trunk Imag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9629E3" w:rsidRPr="009629E3" w:rsidRDefault="009629E3" w:rsidP="009629E3">
            <w:pPr>
              <w:rPr>
                <w:lang w:eastAsia="en-GB"/>
              </w:rPr>
            </w:pPr>
            <w:r w:rsidRPr="009629E3">
              <w:rPr>
                <w:lang w:eastAsia="en-GB"/>
              </w:rPr>
              <w:t xml:space="preserve">Caecilian skeleton - whole body view showing limblessness and elongate trunk </w:t>
            </w:r>
          </w:p>
        </w:tc>
        <w:tc>
          <w:tcPr>
            <w:tcW w:w="0" w:type="auto"/>
            <w:vAlign w:val="center"/>
            <w:hideMark/>
          </w:tcPr>
          <w:p w:rsidR="009629E3" w:rsidRPr="009629E3" w:rsidRDefault="009629E3" w:rsidP="009629E3">
            <w:pPr>
              <w:rPr>
                <w:lang w:eastAsia="en-GB"/>
              </w:rPr>
            </w:pPr>
            <w:r w:rsidRPr="009629E3">
              <w:rPr>
                <w:noProof/>
                <w:lang w:eastAsia="en-GB"/>
              </w:rPr>
              <w:drawing>
                <wp:inline distT="0" distB="0" distL="0" distR="0">
                  <wp:extent cx="1216025" cy="1216025"/>
                  <wp:effectExtent l="0" t="0" r="3175" b="0"/>
                  <wp:docPr id="59" name="Picture 59" descr="Show Caecilian skeleton - dorsal view of skull, showing compound structure and reduced orbits Image">
                    <a:hlinkClick xmlns:a="http://schemas.openxmlformats.org/drawingml/2006/main" r:id="rId44" tooltip="&quot;Show Caecilian skeleton - dorsal view of skull, showing compound structure and reduced orbit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how Caecilian skeleton - dorsal view of skull, showing compound structure and reduced orbits Image">
                            <a:hlinkClick r:id="rId44" tooltip="&quot;Show Caecilian skeleton - dorsal view of skull, showing compound structure and reduced orbits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9629E3" w:rsidRPr="009629E3" w:rsidRDefault="009629E3" w:rsidP="009629E3">
            <w:pPr>
              <w:rPr>
                <w:lang w:eastAsia="en-GB"/>
              </w:rPr>
            </w:pPr>
            <w:r w:rsidRPr="009629E3">
              <w:rPr>
                <w:lang w:eastAsia="en-GB"/>
              </w:rPr>
              <w:t xml:space="preserve">Caecilian skeleton - dorsal view of skull, showing compound structure and reduced orbits </w:t>
            </w:r>
          </w:p>
        </w:tc>
        <w:tc>
          <w:tcPr>
            <w:tcW w:w="0" w:type="auto"/>
            <w:vAlign w:val="center"/>
            <w:hideMark/>
          </w:tcPr>
          <w:p w:rsidR="009629E3" w:rsidRPr="009629E3" w:rsidRDefault="009629E3" w:rsidP="009629E3">
            <w:pPr>
              <w:rPr>
                <w:lang w:eastAsia="en-GB"/>
              </w:rPr>
            </w:pPr>
            <w:r w:rsidRPr="009629E3">
              <w:rPr>
                <w:noProof/>
                <w:lang w:eastAsia="en-GB"/>
              </w:rPr>
              <w:drawing>
                <wp:inline distT="0" distB="0" distL="0" distR="0">
                  <wp:extent cx="1216025" cy="1216025"/>
                  <wp:effectExtent l="0" t="0" r="3175" b="0"/>
                  <wp:docPr id="58" name="Picture 58" descr="Show Caecilian skeleton - ventral view showing compound structure of the skull and lower jaw Image">
                    <a:hlinkClick xmlns:a="http://schemas.openxmlformats.org/drawingml/2006/main" r:id="rId44" tooltip="&quot;Show Caecilian skeleton - ventral view showing compound structure of the skull and lower ja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how Caecilian skeleton - ventral view showing compound structure of the skull and lower jaw Image">
                            <a:hlinkClick r:id="rId44" tooltip="&quot;Show Caecilian skeleton - ventral view showing compound structure of the skull and lower jaw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9629E3" w:rsidRPr="009629E3" w:rsidRDefault="009629E3" w:rsidP="009629E3">
            <w:pPr>
              <w:rPr>
                <w:lang w:eastAsia="en-GB"/>
              </w:rPr>
            </w:pPr>
            <w:r w:rsidRPr="009629E3">
              <w:rPr>
                <w:lang w:eastAsia="en-GB"/>
              </w:rPr>
              <w:t xml:space="preserve">Caecilian skeleton - ventral view showing compound structure of the skull and lower jaw </w:t>
            </w:r>
          </w:p>
        </w:tc>
        <w:tc>
          <w:tcPr>
            <w:tcW w:w="0" w:type="auto"/>
            <w:vAlign w:val="center"/>
            <w:hideMark/>
          </w:tcPr>
          <w:p w:rsidR="009629E3" w:rsidRPr="009629E3" w:rsidRDefault="009629E3" w:rsidP="009629E3">
            <w:pPr>
              <w:rPr>
                <w:lang w:eastAsia="en-GB"/>
              </w:rPr>
            </w:pPr>
          </w:p>
        </w:tc>
      </w:tr>
    </w:tbl>
    <w:p w:rsidR="00847445" w:rsidRDefault="00847445" w:rsidP="009629E3">
      <w:pPr>
        <w:rPr>
          <w:lang w:eastAsia="en-GB"/>
        </w:rPr>
      </w:pPr>
    </w:p>
    <w:p w:rsidR="009629E3" w:rsidRDefault="009629E3" w:rsidP="009629E3">
      <w:pPr>
        <w:rPr>
          <w:lang w:eastAsia="en-GB"/>
        </w:rPr>
      </w:pPr>
      <w:r w:rsidRPr="009629E3">
        <w:rPr>
          <w:lang w:eastAsia="en-GB"/>
        </w:rPr>
        <w:t xml:space="preserve">The caecilians are a group of limbless, burrowing amphibians, which superficially resemble earthworms or some limbless lizards (snakes, amphisbaenians). Together, caecilians form the order Gymnophiona - one of the three </w:t>
      </w:r>
      <w:hyperlink w:anchor="_extant" w:history="1">
        <w:r w:rsidRPr="009629E3">
          <w:rPr>
            <w:rStyle w:val="Hyperlink"/>
            <w:lang w:eastAsia="en-GB"/>
          </w:rPr>
          <w:t>extant</w:t>
        </w:r>
      </w:hyperlink>
      <w:r w:rsidRPr="009629E3">
        <w:rPr>
          <w:lang w:eastAsia="en-GB"/>
        </w:rPr>
        <w:t xml:space="preserve"> amphibian orders, along with Anura (frogs and toads) and Caudata (newts and salamanders). </w:t>
      </w:r>
    </w:p>
    <w:p w:rsidR="00847445" w:rsidRPr="009629E3" w:rsidRDefault="00847445" w:rsidP="009629E3">
      <w:pPr>
        <w:rPr>
          <w:lang w:eastAsia="en-GB"/>
        </w:rPr>
      </w:pPr>
    </w:p>
    <w:p w:rsidR="009629E3" w:rsidRPr="009629E3" w:rsidRDefault="009629E3" w:rsidP="009629E3">
      <w:pPr>
        <w:pStyle w:val="Heading3"/>
        <w:ind w:firstLine="0"/>
        <w:rPr>
          <w:lang w:eastAsia="en-GB"/>
        </w:rPr>
      </w:pPr>
      <w:bookmarkStart w:id="7" w:name="_Toc535845819"/>
      <w:r>
        <w:rPr>
          <w:lang w:eastAsia="en-GB"/>
        </w:rPr>
        <w:t>Diversity and Lower Taxonomy</w:t>
      </w:r>
      <w:bookmarkEnd w:id="7"/>
    </w:p>
    <w:p w:rsidR="009629E3" w:rsidRPr="009629E3" w:rsidRDefault="009629E3" w:rsidP="009629E3">
      <w:pPr>
        <w:rPr>
          <w:lang w:eastAsia="en-GB"/>
        </w:rPr>
      </w:pPr>
      <w:r w:rsidRPr="009629E3">
        <w:rPr>
          <w:lang w:eastAsia="en-GB"/>
        </w:rPr>
        <w:t xml:space="preserve">The Gymnophiona currently comprises 183 </w:t>
      </w:r>
      <w:hyperlink w:anchor="_extant" w:history="1">
        <w:r w:rsidR="00847445" w:rsidRPr="009629E3">
          <w:rPr>
            <w:rStyle w:val="Hyperlink"/>
            <w:lang w:eastAsia="en-GB"/>
          </w:rPr>
          <w:t>extant</w:t>
        </w:r>
      </w:hyperlink>
      <w:r w:rsidRPr="009629E3">
        <w:rPr>
          <w:lang w:eastAsia="en-GB"/>
        </w:rPr>
        <w:t xml:space="preserve"> species of caecilian. Until recently, these were grouped between the following six families: Caecilidae, Ichthyophiidae, Rhinatrematidae, Scolecomorphidae, Typhlonectidae, and Uraeotyphlidae. However, in 2006, Frost et al. revised amphibian </w:t>
      </w:r>
      <w:hyperlink w:anchor="_phylogeny" w:history="1">
        <w:r w:rsidRPr="009629E3">
          <w:rPr>
            <w:rStyle w:val="Hyperlink"/>
            <w:lang w:eastAsia="en-GB"/>
          </w:rPr>
          <w:t>phylogeny</w:t>
        </w:r>
      </w:hyperlink>
      <w:r w:rsidRPr="009629E3">
        <w:rPr>
          <w:lang w:eastAsia="en-GB"/>
        </w:rPr>
        <w:t>, proposing that only three of the previous six caecilian familial groupings - Caecilidae, Ichthyophiidae, and Rhinatrematidae - represented distinct families. The remaining three groupings are now thought to be embedded within these three major lineages, with caecilian taxonomy as follows:</w:t>
      </w:r>
      <w:r w:rsidRPr="009629E3">
        <w:rPr>
          <w:lang w:eastAsia="en-GB"/>
        </w:rPr>
        <w:br/>
      </w:r>
    </w:p>
    <w:p w:rsidR="009629E3" w:rsidRPr="009629E3" w:rsidRDefault="009629E3" w:rsidP="009629E3">
      <w:pPr>
        <w:rPr>
          <w:lang w:eastAsia="en-GB"/>
        </w:rPr>
      </w:pPr>
      <w:r w:rsidRPr="009629E3">
        <w:rPr>
          <w:lang w:eastAsia="en-GB"/>
        </w:rPr>
        <w:t xml:space="preserve">  </w:t>
      </w:r>
    </w:p>
    <w:p w:rsidR="009629E3" w:rsidRPr="009629E3" w:rsidRDefault="009629E3" w:rsidP="009629E3">
      <w:pPr>
        <w:numPr>
          <w:ilvl w:val="0"/>
          <w:numId w:val="19"/>
        </w:numPr>
        <w:rPr>
          <w:lang w:eastAsia="en-GB"/>
        </w:rPr>
      </w:pPr>
      <w:r w:rsidRPr="009629E3">
        <w:rPr>
          <w:lang w:eastAsia="en-GB"/>
        </w:rPr>
        <w:t xml:space="preserve">Caecilidae - 123 species </w:t>
      </w:r>
    </w:p>
    <w:p w:rsidR="009629E3" w:rsidRPr="009629E3" w:rsidRDefault="009629E3" w:rsidP="009629E3">
      <w:pPr>
        <w:numPr>
          <w:ilvl w:val="1"/>
          <w:numId w:val="19"/>
        </w:numPr>
        <w:rPr>
          <w:lang w:eastAsia="en-GB"/>
        </w:rPr>
      </w:pPr>
      <w:r w:rsidRPr="009629E3">
        <w:rPr>
          <w:lang w:eastAsia="en-GB"/>
        </w:rPr>
        <w:t>21 genera including 104 species</w:t>
      </w:r>
    </w:p>
    <w:p w:rsidR="009629E3" w:rsidRPr="009629E3" w:rsidRDefault="009629E3" w:rsidP="009629E3">
      <w:pPr>
        <w:numPr>
          <w:ilvl w:val="1"/>
          <w:numId w:val="19"/>
        </w:numPr>
        <w:rPr>
          <w:lang w:eastAsia="en-GB"/>
        </w:rPr>
      </w:pPr>
      <w:r w:rsidRPr="009629E3">
        <w:rPr>
          <w:lang w:eastAsia="en-GB"/>
        </w:rPr>
        <w:t>Scolecomorphinae (6 species in 2 genera)</w:t>
      </w:r>
    </w:p>
    <w:p w:rsidR="009629E3" w:rsidRPr="009629E3" w:rsidRDefault="009629E3" w:rsidP="009629E3">
      <w:pPr>
        <w:numPr>
          <w:ilvl w:val="1"/>
          <w:numId w:val="19"/>
        </w:numPr>
        <w:rPr>
          <w:lang w:eastAsia="en-GB"/>
        </w:rPr>
      </w:pPr>
      <w:r w:rsidRPr="009629E3">
        <w:rPr>
          <w:lang w:eastAsia="en-GB"/>
        </w:rPr>
        <w:t>Typhlonectinae (13 species in 5 genera)</w:t>
      </w:r>
    </w:p>
    <w:p w:rsidR="009629E3" w:rsidRPr="009629E3" w:rsidRDefault="009629E3" w:rsidP="009629E3">
      <w:pPr>
        <w:numPr>
          <w:ilvl w:val="0"/>
          <w:numId w:val="19"/>
        </w:numPr>
        <w:rPr>
          <w:lang w:eastAsia="en-GB"/>
        </w:rPr>
      </w:pPr>
      <w:r w:rsidRPr="009629E3">
        <w:rPr>
          <w:lang w:eastAsia="en-GB"/>
        </w:rPr>
        <w:lastRenderedPageBreak/>
        <w:t>Ichthyophiidae - 50 species in 3 genera (including the genus Uraeotyphlus)</w:t>
      </w:r>
    </w:p>
    <w:p w:rsidR="009629E3" w:rsidRPr="009629E3" w:rsidRDefault="009629E3" w:rsidP="009629E3">
      <w:pPr>
        <w:numPr>
          <w:ilvl w:val="0"/>
          <w:numId w:val="19"/>
        </w:numPr>
        <w:rPr>
          <w:lang w:eastAsia="en-GB"/>
        </w:rPr>
      </w:pPr>
      <w:r w:rsidRPr="009629E3">
        <w:rPr>
          <w:lang w:eastAsia="en-GB"/>
        </w:rPr>
        <w:t>Rhinatrematidae - 10 species in 2 genera</w:t>
      </w:r>
    </w:p>
    <w:p w:rsidR="009629E3" w:rsidRPr="009629E3" w:rsidRDefault="009629E3" w:rsidP="009629E3">
      <w:pPr>
        <w:rPr>
          <w:lang w:eastAsia="en-GB"/>
        </w:rPr>
      </w:pPr>
      <w:r w:rsidRPr="009629E3">
        <w:rPr>
          <w:lang w:eastAsia="en-GB"/>
        </w:rPr>
        <w:t xml:space="preserve">  </w:t>
      </w:r>
    </w:p>
    <w:p w:rsidR="009629E3" w:rsidRPr="009629E3" w:rsidRDefault="009629E3" w:rsidP="009629E3">
      <w:pPr>
        <w:pStyle w:val="Heading3"/>
        <w:ind w:firstLine="0"/>
        <w:rPr>
          <w:lang w:eastAsia="en-GB"/>
        </w:rPr>
      </w:pPr>
      <w:bookmarkStart w:id="8" w:name="_Toc535845820"/>
      <w:r>
        <w:rPr>
          <w:lang w:eastAsia="en-GB"/>
        </w:rPr>
        <w:t>Distribution and Habitat</w:t>
      </w:r>
      <w:bookmarkEnd w:id="8"/>
    </w:p>
    <w:p w:rsidR="009629E3" w:rsidRPr="009629E3" w:rsidRDefault="009629E3" w:rsidP="009629E3">
      <w:pPr>
        <w:rPr>
          <w:lang w:eastAsia="en-GB"/>
        </w:rPr>
      </w:pPr>
      <w:r w:rsidRPr="009629E3">
        <w:rPr>
          <w:lang w:eastAsia="en-GB"/>
        </w:rPr>
        <w:t xml:space="preserve">Most caecilians inhabit moist tropical and subtropical regions of South and Central America, South and Southeast Asia, and Sub-Saharan Africa. A single species inhabits Trinidad &amp; Tobago. </w:t>
      </w:r>
    </w:p>
    <w:p w:rsidR="009629E3" w:rsidRDefault="009629E3" w:rsidP="009629E3">
      <w:pPr>
        <w:rPr>
          <w:lang w:eastAsia="en-GB"/>
        </w:rPr>
      </w:pPr>
      <w:r w:rsidRPr="009629E3">
        <w:rPr>
          <w:lang w:eastAsia="en-GB"/>
        </w:rPr>
        <w:t xml:space="preserve">Almost all caecilians are terrestrial, but they are elusive as they spend the majority of their lives underground. They burrow primarily in forests, but also in grassland, savanna, shrubland, and wetlands. </w:t>
      </w:r>
    </w:p>
    <w:p w:rsidR="009629E3" w:rsidRPr="009629E3" w:rsidRDefault="009629E3" w:rsidP="009629E3">
      <w:pPr>
        <w:rPr>
          <w:lang w:eastAsia="en-GB"/>
        </w:rPr>
      </w:pPr>
    </w:p>
    <w:p w:rsidR="009629E3" w:rsidRDefault="009629E3" w:rsidP="009629E3">
      <w:pPr>
        <w:rPr>
          <w:lang w:eastAsia="en-GB"/>
        </w:rPr>
      </w:pPr>
      <w:r w:rsidRPr="009629E3">
        <w:rPr>
          <w:lang w:eastAsia="en-GB"/>
        </w:rPr>
        <w:t xml:space="preserve">Members of the suborder Typhlonectinae are known as aquatic caecilians, and inhabit freshwater systems. At least four typhlonectin species are exclusively aquatic. </w:t>
      </w:r>
    </w:p>
    <w:p w:rsidR="009629E3" w:rsidRPr="009629E3" w:rsidRDefault="009629E3" w:rsidP="009629E3">
      <w:pPr>
        <w:rPr>
          <w:lang w:eastAsia="en-GB"/>
        </w:rPr>
      </w:pPr>
    </w:p>
    <w:p w:rsidR="009629E3" w:rsidRPr="009629E3" w:rsidRDefault="009629E3" w:rsidP="009629E3">
      <w:pPr>
        <w:pStyle w:val="Heading3"/>
        <w:ind w:firstLine="0"/>
        <w:rPr>
          <w:lang w:eastAsia="en-GB"/>
        </w:rPr>
      </w:pPr>
      <w:bookmarkStart w:id="9" w:name="_Toc535845821"/>
      <w:r>
        <w:rPr>
          <w:lang w:eastAsia="en-GB"/>
        </w:rPr>
        <w:t>Conservation Status (IUCN)</w:t>
      </w:r>
      <w:bookmarkEnd w:id="9"/>
    </w:p>
    <w:p w:rsidR="009629E3" w:rsidRPr="009629E3" w:rsidRDefault="009629E3" w:rsidP="009629E3">
      <w:pPr>
        <w:rPr>
          <w:lang w:eastAsia="en-GB"/>
        </w:rPr>
      </w:pPr>
      <w:r w:rsidRPr="009629E3">
        <w:rPr>
          <w:lang w:eastAsia="en-GB"/>
        </w:rPr>
        <w:t>Of the 172 species of caecilian present on the IUCN Red List, over 66% (114 species) are lacking enough data to have their extinction threat assessed (</w:t>
      </w:r>
      <w:r w:rsidRPr="009629E3">
        <w:rPr>
          <w:i/>
          <w:iCs/>
          <w:lang w:eastAsia="en-GB"/>
        </w:rPr>
        <w:t>Data Deficient</w:t>
      </w:r>
      <w:r w:rsidRPr="009629E3">
        <w:rPr>
          <w:lang w:eastAsia="en-GB"/>
        </w:rPr>
        <w:t xml:space="preserve">). </w:t>
      </w:r>
    </w:p>
    <w:p w:rsidR="009629E3" w:rsidRDefault="009629E3" w:rsidP="009629E3">
      <w:pPr>
        <w:rPr>
          <w:lang w:eastAsia="en-GB"/>
        </w:rPr>
      </w:pPr>
      <w:r w:rsidRPr="009629E3">
        <w:rPr>
          <w:lang w:eastAsia="en-GB"/>
        </w:rPr>
        <w:t>For the 58 species for which there is sufficient data for assessment, 52 are considered of</w:t>
      </w:r>
      <w:r>
        <w:rPr>
          <w:lang w:eastAsia="en-GB"/>
        </w:rPr>
        <w:t xml:space="preserve"> </w:t>
      </w:r>
      <w:r w:rsidRPr="009629E3">
        <w:rPr>
          <w:i/>
          <w:iCs/>
          <w:lang w:eastAsia="en-GB"/>
        </w:rPr>
        <w:t>Least Concern</w:t>
      </w:r>
      <w:r w:rsidRPr="009629E3">
        <w:rPr>
          <w:lang w:eastAsia="en-GB"/>
        </w:rPr>
        <w:t>. The remaining 6 species are threatened with extinction, with four</w:t>
      </w:r>
      <w:r>
        <w:rPr>
          <w:lang w:eastAsia="en-GB"/>
        </w:rPr>
        <w:t xml:space="preserve"> </w:t>
      </w:r>
      <w:r w:rsidRPr="009629E3">
        <w:rPr>
          <w:i/>
          <w:iCs/>
          <w:lang w:eastAsia="en-GB"/>
        </w:rPr>
        <w:t>Vulnerable</w:t>
      </w:r>
      <w:r w:rsidRPr="009629E3">
        <w:rPr>
          <w:lang w:eastAsia="en-GB"/>
        </w:rPr>
        <w:t xml:space="preserve">, one </w:t>
      </w:r>
      <w:r w:rsidRPr="009629E3">
        <w:rPr>
          <w:i/>
          <w:iCs/>
          <w:lang w:eastAsia="en-GB"/>
        </w:rPr>
        <w:t>Endangered</w:t>
      </w:r>
      <w:r w:rsidRPr="009629E3">
        <w:rPr>
          <w:lang w:eastAsia="en-GB"/>
        </w:rPr>
        <w:t xml:space="preserve"> (</w:t>
      </w:r>
      <w:r w:rsidRPr="009629E3">
        <w:rPr>
          <w:i/>
          <w:iCs/>
          <w:lang w:eastAsia="en-GB"/>
        </w:rPr>
        <w:t>Grandisonia brevis</w:t>
      </w:r>
      <w:r w:rsidRPr="009629E3">
        <w:rPr>
          <w:lang w:eastAsia="en-GB"/>
        </w:rPr>
        <w:t xml:space="preserve">), and one </w:t>
      </w:r>
      <w:r w:rsidRPr="009629E3">
        <w:rPr>
          <w:i/>
          <w:iCs/>
          <w:lang w:eastAsia="en-GB"/>
        </w:rPr>
        <w:t>Critically Endangered</w:t>
      </w:r>
      <w:r>
        <w:rPr>
          <w:i/>
          <w:iCs/>
          <w:lang w:eastAsia="en-GB"/>
        </w:rPr>
        <w:t xml:space="preserve"> </w:t>
      </w:r>
      <w:r w:rsidRPr="009629E3">
        <w:rPr>
          <w:lang w:eastAsia="en-GB"/>
        </w:rPr>
        <w:t>(</w:t>
      </w:r>
      <w:r w:rsidRPr="009629E3">
        <w:rPr>
          <w:i/>
          <w:iCs/>
          <w:lang w:eastAsia="en-GB"/>
        </w:rPr>
        <w:t>Boulengerula niedeni</w:t>
      </w:r>
      <w:r w:rsidRPr="009629E3">
        <w:rPr>
          <w:lang w:eastAsia="en-GB"/>
        </w:rPr>
        <w:t xml:space="preserve">). </w:t>
      </w:r>
    </w:p>
    <w:p w:rsidR="009629E3" w:rsidRPr="009629E3" w:rsidRDefault="009629E3" w:rsidP="009629E3">
      <w:pPr>
        <w:rPr>
          <w:lang w:eastAsia="en-GB"/>
        </w:rPr>
      </w:pPr>
    </w:p>
    <w:p w:rsidR="009629E3" w:rsidRPr="009629E3" w:rsidRDefault="009629E3" w:rsidP="009629E3">
      <w:pPr>
        <w:pStyle w:val="Heading3"/>
        <w:ind w:firstLine="0"/>
        <w:rPr>
          <w:lang w:eastAsia="en-GB"/>
        </w:rPr>
      </w:pPr>
      <w:bookmarkStart w:id="10" w:name="_Toc535845822"/>
      <w:r>
        <w:rPr>
          <w:lang w:eastAsia="en-GB"/>
        </w:rPr>
        <w:t>Features</w:t>
      </w:r>
      <w:bookmarkEnd w:id="10"/>
    </w:p>
    <w:p w:rsidR="009629E3" w:rsidRPr="009629E3" w:rsidRDefault="009629E3" w:rsidP="009629E3">
      <w:pPr>
        <w:numPr>
          <w:ilvl w:val="0"/>
          <w:numId w:val="20"/>
        </w:numPr>
        <w:rPr>
          <w:lang w:eastAsia="en-GB"/>
        </w:rPr>
      </w:pPr>
      <w:r w:rsidRPr="009629E3">
        <w:rPr>
          <w:lang w:eastAsia="en-GB"/>
        </w:rPr>
        <w:t>No appendicular skeleton - they are completely limbless and have no shoulder girdle, but there is a kink in the spine where the pelvic girdle once was.</w:t>
      </w:r>
    </w:p>
    <w:p w:rsidR="009629E3" w:rsidRPr="009629E3" w:rsidRDefault="009629E3" w:rsidP="009629E3">
      <w:pPr>
        <w:numPr>
          <w:ilvl w:val="0"/>
          <w:numId w:val="21"/>
        </w:numPr>
        <w:rPr>
          <w:lang w:eastAsia="en-GB"/>
        </w:rPr>
      </w:pPr>
      <w:r w:rsidRPr="009629E3">
        <w:rPr>
          <w:lang w:eastAsia="en-GB"/>
        </w:rPr>
        <w:t xml:space="preserve">95-285 presacral </w:t>
      </w:r>
      <w:hyperlink w:anchor="_vertebrae" w:history="1">
        <w:r w:rsidRPr="009629E3">
          <w:rPr>
            <w:rStyle w:val="Hyperlink"/>
            <w:lang w:eastAsia="en-GB"/>
          </w:rPr>
          <w:t>vertebrae</w:t>
        </w:r>
      </w:hyperlink>
      <w:r w:rsidRPr="009629E3">
        <w:rPr>
          <w:lang w:eastAsia="en-GB"/>
        </w:rPr>
        <w:t xml:space="preserve"> (those anterior to the sacral vertebrae, which once fused with the pelvic girdle).</w:t>
      </w:r>
    </w:p>
    <w:p w:rsidR="009629E3" w:rsidRPr="009629E3" w:rsidRDefault="009629E3" w:rsidP="009629E3">
      <w:pPr>
        <w:numPr>
          <w:ilvl w:val="0"/>
          <w:numId w:val="22"/>
        </w:numPr>
        <w:rPr>
          <w:lang w:eastAsia="en-GB"/>
        </w:rPr>
      </w:pPr>
      <w:r w:rsidRPr="009629E3">
        <w:rPr>
          <w:lang w:eastAsia="en-GB"/>
        </w:rPr>
        <w:t xml:space="preserve">Compound, </w:t>
      </w:r>
      <w:hyperlink w:anchor="_akinetic" w:history="1">
        <w:r w:rsidRPr="009629E3">
          <w:rPr>
            <w:rStyle w:val="Hyperlink"/>
            <w:lang w:eastAsia="en-GB"/>
          </w:rPr>
          <w:t>akinetic</w:t>
        </w:r>
      </w:hyperlink>
      <w:r w:rsidRPr="009629E3">
        <w:rPr>
          <w:lang w:eastAsia="en-GB"/>
        </w:rPr>
        <w:t xml:space="preserve"> skull formed of joined plates of bone - this is an excellent and typical adaptation for a </w:t>
      </w:r>
      <w:hyperlink w:anchor="_fossorial" w:history="1">
        <w:r w:rsidRPr="009629E3">
          <w:rPr>
            <w:rStyle w:val="Hyperlink"/>
            <w:lang w:eastAsia="en-GB"/>
          </w:rPr>
          <w:t>fossorial</w:t>
        </w:r>
      </w:hyperlink>
      <w:r w:rsidRPr="009629E3">
        <w:rPr>
          <w:lang w:eastAsia="en-GB"/>
        </w:rPr>
        <w:t xml:space="preserve"> animal (also seen in burrowing lizards, and burrowing mammals, such as the golden moles), allowing the head to be used like a spade to dig, push, and pack earth when burrowing in underground tunnels.</w:t>
      </w:r>
    </w:p>
    <w:p w:rsidR="009629E3" w:rsidRPr="009629E3" w:rsidRDefault="009629E3" w:rsidP="009629E3">
      <w:pPr>
        <w:numPr>
          <w:ilvl w:val="0"/>
          <w:numId w:val="23"/>
        </w:numPr>
        <w:rPr>
          <w:lang w:eastAsia="en-GB"/>
        </w:rPr>
      </w:pPr>
      <w:r w:rsidRPr="009629E3">
        <w:rPr>
          <w:lang w:eastAsia="en-GB"/>
        </w:rPr>
        <w:t>Reduced eyes.</w:t>
      </w:r>
    </w:p>
    <w:p w:rsidR="009629E3" w:rsidRPr="009629E3" w:rsidRDefault="009629E3" w:rsidP="009629E3">
      <w:pPr>
        <w:numPr>
          <w:ilvl w:val="0"/>
          <w:numId w:val="24"/>
        </w:numPr>
        <w:rPr>
          <w:lang w:eastAsia="en-GB"/>
        </w:rPr>
      </w:pPr>
      <w:r w:rsidRPr="009629E3">
        <w:rPr>
          <w:lang w:eastAsia="en-GB"/>
        </w:rPr>
        <w:t>200+ lymph hearts situated intersegmentally under the skin.</w:t>
      </w:r>
    </w:p>
    <w:p w:rsidR="00847445" w:rsidRDefault="00847445">
      <w:pPr>
        <w:rPr>
          <w:lang w:eastAsia="en-GB"/>
        </w:rPr>
      </w:pPr>
      <w:r>
        <w:rPr>
          <w:lang w:eastAsia="en-GB"/>
        </w:rPr>
        <w:br w:type="page"/>
      </w:r>
    </w:p>
    <w:p w:rsidR="00847445" w:rsidRPr="00847445" w:rsidRDefault="00847445" w:rsidP="00847445">
      <w:pPr>
        <w:pStyle w:val="Heading2"/>
      </w:pPr>
      <w:bookmarkStart w:id="11" w:name="_Caudata_-_salamanders"/>
      <w:bookmarkStart w:id="12" w:name="_Toc535845823"/>
      <w:bookmarkEnd w:id="11"/>
      <w:r w:rsidRPr="00847445">
        <w:lastRenderedPageBreak/>
        <w:t>Caudata - salamanders</w:t>
      </w:r>
      <w:bookmarkEnd w:id="12"/>
    </w:p>
    <w:p w:rsidR="00847445" w:rsidRPr="00847445" w:rsidRDefault="00847445" w:rsidP="00847445">
      <w:pPr>
        <w:rPr>
          <w:lang w:eastAsia="en-GB"/>
        </w:rPr>
      </w:pPr>
      <w:r w:rsidRPr="00847445">
        <w:rPr>
          <w:lang w:eastAsia="en-GB"/>
        </w:rPr>
        <w:t xml:space="preserve">  </w:t>
      </w:r>
    </w:p>
    <w:tbl>
      <w:tblPr>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847445" w:rsidRPr="00847445"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847445" w:rsidRPr="00847445" w:rsidRDefault="00847445" w:rsidP="00847445">
            <w:pPr>
              <w:rPr>
                <w:lang w:eastAsia="en-GB"/>
              </w:rPr>
            </w:pPr>
            <w:r w:rsidRPr="00847445">
              <w:rPr>
                <w:lang w:eastAsia="en-GB"/>
              </w:rPr>
              <w:t xml:space="preserve">Vertebrata; Gnathostomata; Osteichthyes; Sarcopterygii; Tetrapoda; Lissamphibia; </w:t>
            </w:r>
            <w:r w:rsidRPr="00847445">
              <w:rPr>
                <w:b/>
                <w:bCs/>
                <w:lang w:eastAsia="en-GB"/>
              </w:rPr>
              <w:t>Caudata</w:t>
            </w:r>
          </w:p>
        </w:tc>
      </w:tr>
    </w:tbl>
    <w:p w:rsidR="00847445" w:rsidRPr="00847445" w:rsidRDefault="00847445" w:rsidP="00847445">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2317"/>
        <w:gridCol w:w="2222"/>
        <w:gridCol w:w="2165"/>
        <w:gridCol w:w="2262"/>
      </w:tblGrid>
      <w:tr w:rsidR="00847445" w:rsidRPr="00847445" w:rsidTr="00847445">
        <w:trPr>
          <w:tblCellSpacing w:w="0" w:type="dxa"/>
        </w:trPr>
        <w:tc>
          <w:tcPr>
            <w:tcW w:w="0" w:type="auto"/>
            <w:vAlign w:val="center"/>
            <w:hideMark/>
          </w:tcPr>
          <w:p w:rsidR="00847445" w:rsidRPr="00847445" w:rsidRDefault="00847445" w:rsidP="00847445">
            <w:pPr>
              <w:rPr>
                <w:lang w:eastAsia="en-GB"/>
              </w:rPr>
            </w:pPr>
            <w:r w:rsidRPr="00847445">
              <w:rPr>
                <w:noProof/>
                <w:lang w:eastAsia="en-GB"/>
              </w:rPr>
              <w:drawing>
                <wp:inline distT="0" distB="0" distL="0" distR="0">
                  <wp:extent cx="1216025" cy="1216025"/>
                  <wp:effectExtent l="0" t="0" r="0" b="3175"/>
                  <wp:docPr id="65" name="Picture 65" descr="Show Japanese giant salamander in spirit - dorsal view showing elongate body, short limbs, and laterally compressed swimming tail Image">
                    <a:hlinkClick xmlns:a="http://schemas.openxmlformats.org/drawingml/2006/main" r:id="rId48" tooltip="&quot;Show Japanese giant salamander in spirit - dorsal view showing elongate body, short limbs, and laterally compressed swimming tail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how Japanese giant salamander in spirit - dorsal view showing elongate body, short limbs, and laterally compressed swimming tail Image">
                            <a:hlinkClick r:id="rId48" tooltip="&quot;Show Japanese giant salamander in spirit - dorsal view showing elongate body, short limbs, and laterally compressed swimming tail Imag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pPr>
              <w:rPr>
                <w:lang w:eastAsia="en-GB"/>
              </w:rPr>
            </w:pPr>
            <w:r w:rsidRPr="00847445">
              <w:rPr>
                <w:lang w:eastAsia="en-GB"/>
              </w:rPr>
              <w:t xml:space="preserve">Japanese giant salamander in spirit - dorsal view showing elongate body, short limbs, and laterally compressed swimming tail </w:t>
            </w:r>
          </w:p>
        </w:tc>
        <w:tc>
          <w:tcPr>
            <w:tcW w:w="0" w:type="auto"/>
            <w:vAlign w:val="center"/>
            <w:hideMark/>
          </w:tcPr>
          <w:p w:rsidR="00847445" w:rsidRPr="00847445" w:rsidRDefault="00847445" w:rsidP="00847445">
            <w:pPr>
              <w:rPr>
                <w:lang w:eastAsia="en-GB"/>
              </w:rPr>
            </w:pPr>
            <w:r w:rsidRPr="00847445">
              <w:rPr>
                <w:noProof/>
                <w:lang w:eastAsia="en-GB"/>
              </w:rPr>
              <w:drawing>
                <wp:inline distT="0" distB="0" distL="0" distR="0">
                  <wp:extent cx="1216025" cy="1216025"/>
                  <wp:effectExtent l="0" t="0" r="0" b="3175"/>
                  <wp:docPr id="64" name="Picture 64" descr="Show Salamander in spirit - dorsal view showing elongate body, short limbs, and laterally compressed swimming tail Image">
                    <a:hlinkClick xmlns:a="http://schemas.openxmlformats.org/drawingml/2006/main" r:id="rId48" tooltip="&quot;Show Salamander in spirit - dorsal view showing elongate body, short limbs, and laterally compressed swimming tail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how Salamander in spirit - dorsal view showing elongate body, short limbs, and laterally compressed swimming tail Image">
                            <a:hlinkClick r:id="rId48" tooltip="&quot;Show Salamander in spirit - dorsal view showing elongate body, short limbs, and laterally compressed swimming tail Imag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pPr>
              <w:rPr>
                <w:lang w:eastAsia="en-GB"/>
              </w:rPr>
            </w:pPr>
            <w:r w:rsidRPr="00847445">
              <w:rPr>
                <w:lang w:eastAsia="en-GB"/>
              </w:rPr>
              <w:t xml:space="preserve">Salamander in spirit - dorsal view showing elongate body, short limbs, and laterally compressed swimming tail </w:t>
            </w:r>
          </w:p>
        </w:tc>
        <w:tc>
          <w:tcPr>
            <w:tcW w:w="0" w:type="auto"/>
            <w:vAlign w:val="center"/>
            <w:hideMark/>
          </w:tcPr>
          <w:p w:rsidR="00847445" w:rsidRPr="00847445" w:rsidRDefault="00847445" w:rsidP="00847445">
            <w:pPr>
              <w:rPr>
                <w:lang w:eastAsia="en-GB"/>
              </w:rPr>
            </w:pPr>
            <w:r w:rsidRPr="00847445">
              <w:rPr>
                <w:noProof/>
                <w:lang w:eastAsia="en-GB"/>
              </w:rPr>
              <w:drawing>
                <wp:inline distT="0" distB="0" distL="0" distR="0">
                  <wp:extent cx="1216025" cy="1216025"/>
                  <wp:effectExtent l="0" t="0" r="3175" b="0"/>
                  <wp:docPr id="63" name="Picture 63" descr="Show Skull of a Chinese giant salamander - showing broad, flattened skull, and large orbits Image">
                    <a:hlinkClick xmlns:a="http://schemas.openxmlformats.org/drawingml/2006/main" r:id="rId48" tooltip="&quot;Show Skull of a Chinese giant salamander - showing broad, flattened skull, and large orbit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how Skull of a Chinese giant salamander - showing broad, flattened skull, and large orbits Image">
                            <a:hlinkClick r:id="rId48" tooltip="&quot;Show Skull of a Chinese giant salamander - showing broad, flattened skull, and large orbits Imag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pPr>
              <w:rPr>
                <w:lang w:eastAsia="en-GB"/>
              </w:rPr>
            </w:pPr>
            <w:r w:rsidRPr="00847445">
              <w:rPr>
                <w:lang w:eastAsia="en-GB"/>
              </w:rPr>
              <w:t xml:space="preserve">Skull of a Chinese giant salamander - showing broad, flattened skull, and large orbits </w:t>
            </w:r>
          </w:p>
        </w:tc>
        <w:tc>
          <w:tcPr>
            <w:tcW w:w="0" w:type="auto"/>
            <w:vAlign w:val="center"/>
            <w:hideMark/>
          </w:tcPr>
          <w:p w:rsidR="00847445" w:rsidRPr="00847445" w:rsidRDefault="00847445" w:rsidP="00847445">
            <w:pPr>
              <w:rPr>
                <w:lang w:eastAsia="en-GB"/>
              </w:rPr>
            </w:pPr>
            <w:r w:rsidRPr="00847445">
              <w:rPr>
                <w:noProof/>
                <w:lang w:eastAsia="en-GB"/>
              </w:rPr>
              <w:drawing>
                <wp:inline distT="0" distB="0" distL="0" distR="0">
                  <wp:extent cx="1216025" cy="1216025"/>
                  <wp:effectExtent l="0" t="0" r="3175" b="0"/>
                  <wp:docPr id="62" name="Picture 62" descr="Show Skull of a Chinese giant salamander  - showing flattened skull, and bicuspid teeth on both mandibles Image">
                    <a:hlinkClick xmlns:a="http://schemas.openxmlformats.org/drawingml/2006/main" r:id="rId48" tooltip="&quot;Show Skull of a Chinese giant salamander  - showing flattened skull, and bicuspid teeth on both mandible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how Skull of a Chinese giant salamander  - showing flattened skull, and bicuspid teeth on both mandibles Image">
                            <a:hlinkClick r:id="rId48" tooltip="&quot;Show Skull of a Chinese giant salamander  - showing flattened skull, and bicuspid teeth on both mandibles Image&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pPr>
              <w:rPr>
                <w:lang w:eastAsia="en-GB"/>
              </w:rPr>
            </w:pPr>
            <w:r w:rsidRPr="00847445">
              <w:rPr>
                <w:lang w:eastAsia="en-GB"/>
              </w:rPr>
              <w:t xml:space="preserve">Skull of a Chinese giant salamander - showing flattened skull, and bicuspid teeth on both mandibles </w:t>
            </w:r>
          </w:p>
        </w:tc>
      </w:tr>
    </w:tbl>
    <w:p w:rsidR="00847445" w:rsidRDefault="00847445" w:rsidP="00847445">
      <w:pPr>
        <w:rPr>
          <w:b/>
          <w:bCs/>
          <w:u w:val="single"/>
          <w:lang w:eastAsia="en-GB"/>
        </w:rPr>
      </w:pPr>
    </w:p>
    <w:p w:rsidR="00847445" w:rsidRPr="00847445" w:rsidRDefault="00847445" w:rsidP="00847445">
      <w:pPr>
        <w:rPr>
          <w:lang w:eastAsia="en-GB"/>
        </w:rPr>
      </w:pPr>
      <w:bookmarkStart w:id="13" w:name="_Toc535845824"/>
      <w:r w:rsidRPr="00847445">
        <w:rPr>
          <w:rStyle w:val="Heading3Char"/>
        </w:rPr>
        <w:t>Distribution and Habitat</w:t>
      </w:r>
      <w:bookmarkEnd w:id="13"/>
      <w:r w:rsidRPr="00847445">
        <w:rPr>
          <w:lang w:eastAsia="en-GB"/>
        </w:rPr>
        <w:br/>
        <w:t>Salamanders are almost entirely confined to the holarctic - the ecozone including the habitats of the northern continents, as well as a small part of North Africa north of the Sahara. This means that no species of salamander is native to sub-Saharan Africa or the Australian continent. Approximately 30 species inhabit South America - all being members of the family Plethodontidae.</w:t>
      </w:r>
      <w:r w:rsidRPr="00847445">
        <w:rPr>
          <w:lang w:eastAsia="en-GB"/>
        </w:rPr>
        <w:br/>
      </w:r>
      <w:r w:rsidRPr="00847445">
        <w:rPr>
          <w:lang w:eastAsia="en-GB"/>
        </w:rPr>
        <w:br/>
        <w:t xml:space="preserve">The majority of salamanders are restricted to North and Central America (367 species), variously inhabiting terrestrial and freshwater systems in temperate or tropical forests. </w:t>
      </w:r>
      <w:r w:rsidRPr="00847445">
        <w:rPr>
          <w:lang w:eastAsia="en-GB"/>
        </w:rPr>
        <w:br/>
      </w:r>
      <w:r w:rsidRPr="00847445">
        <w:rPr>
          <w:lang w:eastAsia="en-GB"/>
        </w:rPr>
        <w:br/>
      </w:r>
      <w:r w:rsidRPr="00847445">
        <w:rPr>
          <w:rStyle w:val="Heading3Char"/>
        </w:rPr>
        <w:t>Conservation Status (IUCN)</w:t>
      </w:r>
      <w:r w:rsidRPr="00847445">
        <w:rPr>
          <w:lang w:eastAsia="en-GB"/>
        </w:rPr>
        <w:br/>
        <w:t>Of the 552 species of salamander that are listed on the IUCN Red List, two species - the Yunnan Lake newt, Cynops wolterstorffi, and Ainsworth's salamander, Plethodon ainsworthi - are now considered extinct, after not being recorded since between 1964 and 1979.</w:t>
      </w:r>
      <w:r w:rsidRPr="00847445">
        <w:rPr>
          <w:lang w:eastAsia="en-GB"/>
        </w:rPr>
        <w:br/>
      </w:r>
      <w:r w:rsidRPr="00847445">
        <w:rPr>
          <w:lang w:eastAsia="en-GB"/>
        </w:rPr>
        <w:br/>
        <w:t>A further 58 species are listed as Data Deficient, meaning that current population level data is either absent or insufficient to make species-level assessments.</w:t>
      </w:r>
      <w:r w:rsidRPr="00847445">
        <w:rPr>
          <w:lang w:eastAsia="en-GB"/>
        </w:rPr>
        <w:br/>
      </w:r>
      <w:r w:rsidRPr="00847445">
        <w:rPr>
          <w:lang w:eastAsia="en-GB"/>
        </w:rPr>
        <w:br/>
        <w:t>A huge 55% of the remaining species (270/492) are considered threatened with extinction, with 92 species listed as Vulnerable, 101 Endangered, and 77 Critically Endangered. The remaining species are at lower risk, either listed as Least Concern (160) or Near Threatened</w:t>
      </w:r>
      <w:r>
        <w:rPr>
          <w:lang w:eastAsia="en-GB"/>
        </w:rPr>
        <w:t xml:space="preserve"> </w:t>
      </w:r>
      <w:r w:rsidRPr="00847445">
        <w:rPr>
          <w:lang w:eastAsia="en-GB"/>
        </w:rPr>
        <w:t>(62).</w:t>
      </w:r>
      <w:r w:rsidRPr="00847445">
        <w:rPr>
          <w:lang w:eastAsia="en-GB"/>
        </w:rPr>
        <w:br/>
      </w:r>
      <w:r w:rsidRPr="00847445">
        <w:rPr>
          <w:lang w:eastAsia="en-GB"/>
        </w:rPr>
        <w:br/>
      </w:r>
      <w:r w:rsidRPr="00847445">
        <w:rPr>
          <w:rStyle w:val="Heading3Char"/>
        </w:rPr>
        <w:t>Features</w:t>
      </w:r>
    </w:p>
    <w:p w:rsidR="00847445" w:rsidRPr="00847445" w:rsidRDefault="00847445" w:rsidP="00847445">
      <w:pPr>
        <w:numPr>
          <w:ilvl w:val="0"/>
          <w:numId w:val="25"/>
        </w:numPr>
        <w:rPr>
          <w:lang w:eastAsia="en-GB"/>
        </w:rPr>
      </w:pPr>
      <w:r w:rsidRPr="00847445">
        <w:rPr>
          <w:lang w:eastAsia="en-GB"/>
        </w:rPr>
        <w:t>Elongate body, usually with four short limbs and a laterally flattened tail for swimming.</w:t>
      </w:r>
    </w:p>
    <w:p w:rsidR="00847445" w:rsidRPr="00847445" w:rsidRDefault="00847445" w:rsidP="00847445">
      <w:pPr>
        <w:numPr>
          <w:ilvl w:val="0"/>
          <w:numId w:val="25"/>
        </w:numPr>
        <w:rPr>
          <w:color w:val="000000" w:themeColor="text1"/>
          <w:lang w:eastAsia="en-GB"/>
        </w:rPr>
      </w:pPr>
      <w:r w:rsidRPr="00847445">
        <w:rPr>
          <w:lang w:eastAsia="en-GB"/>
        </w:rPr>
        <w:t xml:space="preserve">Broad, </w:t>
      </w:r>
      <w:r w:rsidRPr="00847445">
        <w:rPr>
          <w:color w:val="000000" w:themeColor="text1"/>
          <w:lang w:eastAsia="en-GB"/>
        </w:rPr>
        <w:t xml:space="preserve">flattened skull, with large </w:t>
      </w:r>
      <w:hyperlink w:anchor="_Orbit" w:history="1">
        <w:r w:rsidRPr="00847445">
          <w:rPr>
            <w:rStyle w:val="Hyperlink"/>
            <w:lang w:eastAsia="en-GB"/>
          </w:rPr>
          <w:t>orbit</w:t>
        </w:r>
      </w:hyperlink>
      <w:r w:rsidRPr="00847445">
        <w:rPr>
          <w:color w:val="000000" w:themeColor="text1"/>
          <w:lang w:eastAsia="en-GB"/>
        </w:rPr>
        <w:t>s.</w:t>
      </w:r>
    </w:p>
    <w:p w:rsidR="00847445" w:rsidRDefault="00532CF9" w:rsidP="00847445">
      <w:pPr>
        <w:numPr>
          <w:ilvl w:val="0"/>
          <w:numId w:val="25"/>
        </w:numPr>
        <w:rPr>
          <w:color w:val="000000" w:themeColor="text1"/>
          <w:lang w:eastAsia="en-GB"/>
        </w:rPr>
      </w:pPr>
      <w:hyperlink w:anchor="_Bicuspid" w:history="1">
        <w:r w:rsidR="00847445" w:rsidRPr="00847445">
          <w:rPr>
            <w:rStyle w:val="Hyperlink"/>
            <w:lang w:eastAsia="en-GB"/>
          </w:rPr>
          <w:t>Bicuspid</w:t>
        </w:r>
      </w:hyperlink>
      <w:r w:rsidR="00847445" w:rsidRPr="00847445">
        <w:rPr>
          <w:color w:val="000000" w:themeColor="text1"/>
          <w:lang w:eastAsia="en-GB"/>
        </w:rPr>
        <w:t xml:space="preserve"> teeth on both the upper and lower jaw.</w:t>
      </w:r>
    </w:p>
    <w:p w:rsidR="00847445" w:rsidRPr="00847445" w:rsidRDefault="00847445" w:rsidP="00847445">
      <w:pPr>
        <w:numPr>
          <w:ilvl w:val="0"/>
          <w:numId w:val="25"/>
        </w:numPr>
        <w:rPr>
          <w:color w:val="000000" w:themeColor="text1"/>
          <w:lang w:eastAsia="en-GB"/>
        </w:rPr>
      </w:pPr>
      <w:r w:rsidRPr="00847445">
        <w:rPr>
          <w:color w:val="000000" w:themeColor="text1"/>
          <w:lang w:eastAsia="en-GB"/>
        </w:rPr>
        <w:t xml:space="preserve">The rib-bearers (the elements of the </w:t>
      </w:r>
      <w:hyperlink w:anchor="_vertebrae" w:history="1">
        <w:r w:rsidRPr="00847445">
          <w:rPr>
            <w:rStyle w:val="Hyperlink"/>
            <w:lang w:eastAsia="en-GB"/>
          </w:rPr>
          <w:t>vertebrae</w:t>
        </w:r>
      </w:hyperlink>
      <w:r w:rsidRPr="00847445">
        <w:rPr>
          <w:color w:val="000000" w:themeColor="text1"/>
          <w:lang w:eastAsia="en-GB"/>
        </w:rPr>
        <w:t xml:space="preserve"> </w:t>
      </w:r>
      <w:r w:rsidRPr="00847445">
        <w:rPr>
          <w:lang w:eastAsia="en-GB"/>
        </w:rPr>
        <w:t>that articulate with the ribs) are bicipital (have two prongs).</w:t>
      </w:r>
    </w:p>
    <w:p w:rsidR="00847445" w:rsidRDefault="00847445">
      <w:pPr>
        <w:rPr>
          <w:lang w:eastAsia="en-GB"/>
        </w:rPr>
      </w:pPr>
      <w:r>
        <w:rPr>
          <w:lang w:eastAsia="en-GB"/>
        </w:rPr>
        <w:br w:type="page"/>
      </w:r>
    </w:p>
    <w:p w:rsidR="00847445" w:rsidRPr="00847445" w:rsidRDefault="00847445" w:rsidP="00847445">
      <w:pPr>
        <w:pStyle w:val="Heading2"/>
      </w:pPr>
      <w:bookmarkStart w:id="14" w:name="_Anura_-_frogs"/>
      <w:bookmarkStart w:id="15" w:name="_Toc535845825"/>
      <w:bookmarkEnd w:id="14"/>
      <w:r w:rsidRPr="00847445">
        <w:lastRenderedPageBreak/>
        <w:t>Anura - frogs and toads</w:t>
      </w:r>
      <w:bookmarkEnd w:id="15"/>
    </w:p>
    <w:p w:rsidR="00847445" w:rsidRPr="00847445" w:rsidRDefault="00847445" w:rsidP="00847445">
      <w:r w:rsidRPr="00847445">
        <w:t xml:space="preserve">  </w:t>
      </w:r>
    </w:p>
    <w:tbl>
      <w:tblPr>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847445" w:rsidRPr="00847445"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847445" w:rsidRPr="00847445" w:rsidRDefault="00847445" w:rsidP="00847445">
            <w:r w:rsidRPr="00847445">
              <w:t xml:space="preserve">Vertebrata; Gnathostomata; Osteichthyes; Sarcopterygii; Tetrapoda; Lissamphibia; </w:t>
            </w:r>
            <w:r w:rsidRPr="00847445">
              <w:rPr>
                <w:b/>
                <w:bCs/>
              </w:rPr>
              <w:t>Anura</w:t>
            </w:r>
          </w:p>
        </w:tc>
      </w:tr>
    </w:tbl>
    <w:p w:rsidR="00847445" w:rsidRPr="00847445" w:rsidRDefault="00847445" w:rsidP="00847445"/>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4302"/>
        <w:gridCol w:w="4412"/>
        <w:gridCol w:w="96"/>
        <w:gridCol w:w="156"/>
      </w:tblGrid>
      <w:tr w:rsidR="00847445" w:rsidRPr="00847445" w:rsidTr="00847445">
        <w:trPr>
          <w:tblCellSpacing w:w="0" w:type="dxa"/>
        </w:trPr>
        <w:tc>
          <w:tcPr>
            <w:tcW w:w="0" w:type="auto"/>
            <w:vAlign w:val="center"/>
            <w:hideMark/>
          </w:tcPr>
          <w:p w:rsidR="00847445" w:rsidRPr="00847445" w:rsidRDefault="00847445" w:rsidP="00847445">
            <w:r w:rsidRPr="00847445">
              <w:rPr>
                <w:noProof/>
                <w:lang w:eastAsia="en-GB"/>
              </w:rPr>
              <w:drawing>
                <wp:inline distT="0" distB="0" distL="0" distR="0">
                  <wp:extent cx="1216025" cy="1216025"/>
                  <wp:effectExtent l="0" t="0" r="3175" b="0"/>
                  <wp:docPr id="71" name="Picture 71" descr="Show Frog skeleton - dorsal view showing specialised morphology for jumping Image">
                    <a:hlinkClick xmlns:a="http://schemas.openxmlformats.org/drawingml/2006/main" r:id="rId53" tooltip="&quot;Show Frog skeleton - dorsal view showing specialised morphology for jumping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how Frog skeleton - dorsal view showing specialised morphology for jumping Image">
                            <a:hlinkClick r:id="rId53" tooltip="&quot;Show Frog skeleton - dorsal view showing specialised morphology for jumping Imag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r w:rsidRPr="00847445">
              <w:t xml:space="preserve">Frog skeleton - dorsal view showing specialised morphology for jumping </w:t>
            </w:r>
          </w:p>
        </w:tc>
        <w:tc>
          <w:tcPr>
            <w:tcW w:w="0" w:type="auto"/>
            <w:vAlign w:val="center"/>
            <w:hideMark/>
          </w:tcPr>
          <w:p w:rsidR="00847445" w:rsidRPr="00847445" w:rsidRDefault="00847445" w:rsidP="00847445">
            <w:r w:rsidRPr="00847445">
              <w:rPr>
                <w:noProof/>
                <w:lang w:eastAsia="en-GB"/>
              </w:rPr>
              <w:drawing>
                <wp:inline distT="0" distB="0" distL="0" distR="0">
                  <wp:extent cx="1216025" cy="1216025"/>
                  <wp:effectExtent l="0" t="0" r="3175" b="0"/>
                  <wp:docPr id="70" name="Picture 70" descr="Show Frog skeleton - dorsal view showing urostyle and short, stiff vetebral column Image">
                    <a:hlinkClick xmlns:a="http://schemas.openxmlformats.org/drawingml/2006/main" r:id="rId53" tooltip="&quot;Show Frog skeleton - dorsal view showing urostyle and short, stiff vetebral colum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how Frog skeleton - dorsal view showing urostyle and short, stiff vetebral column Image">
                            <a:hlinkClick r:id="rId53" tooltip="&quot;Show Frog skeleton - dorsal view showing urostyle and short, stiff vetebral column Image&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r w:rsidRPr="00847445">
              <w:t xml:space="preserve">Frog skeleton - dorsal view showing urostyle and short, stiff vetebral column </w:t>
            </w:r>
          </w:p>
        </w:tc>
        <w:tc>
          <w:tcPr>
            <w:tcW w:w="0" w:type="auto"/>
            <w:vAlign w:val="center"/>
            <w:hideMark/>
          </w:tcPr>
          <w:p w:rsidR="00847445" w:rsidRPr="00847445" w:rsidRDefault="00847445" w:rsidP="00847445"/>
        </w:tc>
        <w:tc>
          <w:tcPr>
            <w:tcW w:w="0" w:type="auto"/>
            <w:vAlign w:val="center"/>
            <w:hideMark/>
          </w:tcPr>
          <w:p w:rsidR="00847445" w:rsidRPr="00847445" w:rsidRDefault="00847445" w:rsidP="00847445"/>
        </w:tc>
      </w:tr>
    </w:tbl>
    <w:p w:rsidR="00847445" w:rsidRDefault="00847445" w:rsidP="00847445">
      <w:pPr>
        <w:rPr>
          <w:b/>
          <w:bCs/>
          <w:u w:val="single"/>
        </w:rPr>
      </w:pPr>
    </w:p>
    <w:p w:rsidR="00847445" w:rsidRPr="00847445" w:rsidRDefault="00847445" w:rsidP="00847445">
      <w:pPr>
        <w:pStyle w:val="Heading3"/>
        <w:ind w:firstLine="0"/>
      </w:pPr>
      <w:bookmarkStart w:id="16" w:name="_Toc535845826"/>
      <w:r>
        <w:t>Features</w:t>
      </w:r>
      <w:bookmarkEnd w:id="16"/>
    </w:p>
    <w:p w:rsidR="00847445" w:rsidRPr="00847445" w:rsidRDefault="00847445" w:rsidP="00847445">
      <w:pPr>
        <w:numPr>
          <w:ilvl w:val="0"/>
          <w:numId w:val="26"/>
        </w:numPr>
      </w:pPr>
      <w:r w:rsidRPr="00847445">
        <w:t xml:space="preserve">A skeleton that is highly modified for jumping (although many forms have altered these features to specialise in other lifestyles, such as an aquatic or burrowing one): </w:t>
      </w:r>
    </w:p>
    <w:p w:rsidR="00847445" w:rsidRPr="00847445" w:rsidRDefault="00847445" w:rsidP="00847445">
      <w:pPr>
        <w:numPr>
          <w:ilvl w:val="1"/>
          <w:numId w:val="26"/>
        </w:numPr>
      </w:pPr>
      <w:r w:rsidRPr="00847445">
        <w:t>Elongate hind limbs, including the ankle bones (tarsals) and foot bones (metatarsals and phalanges).</w:t>
      </w:r>
    </w:p>
    <w:p w:rsidR="00847445" w:rsidRPr="00847445" w:rsidRDefault="00847445" w:rsidP="00847445">
      <w:pPr>
        <w:numPr>
          <w:ilvl w:val="1"/>
          <w:numId w:val="26"/>
        </w:numPr>
      </w:pPr>
      <w:r w:rsidRPr="00847445">
        <w:t xml:space="preserve">A </w:t>
      </w:r>
      <w:r w:rsidRPr="00847445">
        <w:rPr>
          <w:b/>
          <w:bCs/>
        </w:rPr>
        <w:t>urostyle</w:t>
      </w:r>
      <w:r w:rsidRPr="00847445">
        <w:t xml:space="preserve">: a rod-like fusion of the sacral </w:t>
      </w:r>
      <w:hyperlink w:anchor="_vertebrae" w:history="1">
        <w:r w:rsidRPr="00847445">
          <w:rPr>
            <w:rStyle w:val="Hyperlink"/>
          </w:rPr>
          <w:t>vertebrae</w:t>
        </w:r>
      </w:hyperlink>
      <w:r w:rsidRPr="00847445">
        <w:t xml:space="preserve">, running in parallel with the extended </w:t>
      </w:r>
      <w:hyperlink w:anchor="_ilium" w:history="1">
        <w:r w:rsidRPr="00847445">
          <w:rPr>
            <w:rStyle w:val="Hyperlink"/>
          </w:rPr>
          <w:t>iliac blade</w:t>
        </w:r>
      </w:hyperlink>
      <w:r w:rsidRPr="00847445">
        <w:t>s of the pelvis, resulting in a strong, shock absorbing pelvic basket.</w:t>
      </w:r>
    </w:p>
    <w:p w:rsidR="00847445" w:rsidRPr="00847445" w:rsidRDefault="00847445" w:rsidP="00847445">
      <w:pPr>
        <w:numPr>
          <w:ilvl w:val="1"/>
          <w:numId w:val="26"/>
        </w:numPr>
      </w:pPr>
      <w:r w:rsidRPr="00847445">
        <w:t xml:space="preserve">Short, stiff vertebral column (9 or less </w:t>
      </w:r>
      <w:hyperlink w:anchor="_vertebrae" w:history="1">
        <w:r w:rsidRPr="00847445">
          <w:rPr>
            <w:rStyle w:val="Hyperlink"/>
          </w:rPr>
          <w:t>vertebrae</w:t>
        </w:r>
      </w:hyperlink>
      <w:r w:rsidRPr="00847445">
        <w:t xml:space="preserve"> proper) and no ribs. This helps to stiffen the trunk, providing a solid path for the transmission of thrust from the limbs when jumping, as well as maintaining posture.</w:t>
      </w:r>
    </w:p>
    <w:p w:rsidR="00847445" w:rsidRPr="00847445" w:rsidRDefault="00847445" w:rsidP="00847445">
      <w:pPr>
        <w:numPr>
          <w:ilvl w:val="0"/>
          <w:numId w:val="26"/>
        </w:numPr>
      </w:pPr>
      <w:r w:rsidRPr="00847445">
        <w:t>Short and flat head.</w:t>
      </w:r>
    </w:p>
    <w:p w:rsidR="00847445" w:rsidRPr="00847445" w:rsidRDefault="00847445" w:rsidP="00847445">
      <w:pPr>
        <w:numPr>
          <w:ilvl w:val="0"/>
          <w:numId w:val="26"/>
        </w:numPr>
      </w:pPr>
      <w:r w:rsidRPr="00847445">
        <w:t xml:space="preserve">No teeth on the </w:t>
      </w:r>
      <w:hyperlink w:anchor="_Dentary" w:history="1">
        <w:r w:rsidRPr="00847445">
          <w:rPr>
            <w:rStyle w:val="Hyperlink"/>
          </w:rPr>
          <w:t>dentary</w:t>
        </w:r>
      </w:hyperlink>
      <w:r w:rsidRPr="00847445">
        <w:t>.</w:t>
      </w:r>
    </w:p>
    <w:p w:rsidR="00847445" w:rsidRPr="00847445" w:rsidRDefault="00847445" w:rsidP="00847445">
      <w:pPr>
        <w:numPr>
          <w:ilvl w:val="0"/>
          <w:numId w:val="26"/>
        </w:numPr>
      </w:pPr>
      <w:r w:rsidRPr="00847445">
        <w:t xml:space="preserve">Fused radius and ulna to form a </w:t>
      </w:r>
      <w:r w:rsidRPr="00847445">
        <w:rPr>
          <w:b/>
          <w:bCs/>
        </w:rPr>
        <w:t>compound radio-ulna.</w:t>
      </w:r>
    </w:p>
    <w:p w:rsidR="009629E3" w:rsidRPr="00847445" w:rsidRDefault="009629E3" w:rsidP="00847445">
      <w:pPr>
        <w:rPr>
          <w:lang w:eastAsia="en-GB"/>
        </w:rPr>
      </w:pPr>
      <w:r>
        <w:br w:type="page"/>
      </w:r>
    </w:p>
    <w:bookmarkStart w:id="17" w:name="_Turtles"/>
    <w:bookmarkStart w:id="18" w:name="_Squamata"/>
    <w:bookmarkEnd w:id="17"/>
    <w:bookmarkEnd w:id="18"/>
    <w:p w:rsidR="006169CF" w:rsidRPr="00683CAB" w:rsidRDefault="000F3A34" w:rsidP="0092076C">
      <w:pPr>
        <w:pStyle w:val="Heading1"/>
      </w:pPr>
      <w:r>
        <w:rPr>
          <w:rStyle w:val="Hyperlink"/>
          <w:color w:val="2E74B5" w:themeColor="accent1" w:themeShade="BF"/>
          <w:u w:val="none"/>
        </w:rPr>
        <w:lastRenderedPageBreak/>
        <w:fldChar w:fldCharType="begin"/>
      </w:r>
      <w:r>
        <w:rPr>
          <w:rStyle w:val="Hyperlink"/>
          <w:color w:val="2E74B5" w:themeColor="accent1" w:themeShade="BF"/>
          <w:u w:val="none"/>
        </w:rPr>
        <w:instrText xml:space="preserve"> HYPERLINK "http://www.ucl.ac.uk/museums-static/obl4he/vertebratepalaeo/glossary.html" </w:instrText>
      </w:r>
      <w:r>
        <w:rPr>
          <w:rStyle w:val="Hyperlink"/>
          <w:color w:val="2E74B5" w:themeColor="accent1" w:themeShade="BF"/>
          <w:u w:val="none"/>
        </w:rPr>
        <w:fldChar w:fldCharType="separate"/>
      </w:r>
      <w:bookmarkStart w:id="19" w:name="_Toc535845827"/>
      <w:r w:rsidR="006169CF" w:rsidRPr="00683CAB">
        <w:rPr>
          <w:rStyle w:val="Hyperlink"/>
          <w:color w:val="2E74B5" w:themeColor="accent1" w:themeShade="BF"/>
          <w:u w:val="none"/>
        </w:rPr>
        <w:t>Glossary</w:t>
      </w:r>
      <w:bookmarkEnd w:id="19"/>
      <w:r>
        <w:rPr>
          <w:rStyle w:val="Hyperlink"/>
          <w:color w:val="2E74B5" w:themeColor="accent1" w:themeShade="BF"/>
          <w:u w:val="none"/>
        </w:rPr>
        <w:fldChar w:fldCharType="end"/>
      </w:r>
    </w:p>
    <w:p w:rsidR="006169CF" w:rsidRDefault="006169CF" w:rsidP="006169CF"/>
    <w:p w:rsidR="006169CF" w:rsidRPr="00BA1239" w:rsidRDefault="006169CF" w:rsidP="006169CF">
      <w:pPr>
        <w:pStyle w:val="Heading2"/>
      </w:pPr>
      <w:bookmarkStart w:id="20" w:name="_Toc535520415"/>
      <w:bookmarkStart w:id="21" w:name="_Toc535845828"/>
      <w:r w:rsidRPr="00F8179B">
        <w:t>A</w:t>
      </w:r>
      <w:bookmarkEnd w:id="20"/>
      <w:bookmarkEnd w:id="21"/>
    </w:p>
    <w:p w:rsidR="006169CF" w:rsidRPr="00BA1239" w:rsidRDefault="006169CF" w:rsidP="006169CF"/>
    <w:p w:rsidR="006169CF" w:rsidRPr="00BA1239" w:rsidRDefault="006169CF" w:rsidP="00BA1239">
      <w:pPr>
        <w:pStyle w:val="Heading3"/>
      </w:pPr>
      <w:bookmarkStart w:id="22" w:name="_akinetic"/>
      <w:bookmarkStart w:id="23" w:name="_Toc535520416"/>
      <w:bookmarkStart w:id="24" w:name="_Toc535845829"/>
      <w:bookmarkEnd w:id="22"/>
      <w:r w:rsidRPr="00BA1239">
        <w:t>akinetic</w:t>
      </w:r>
      <w:bookmarkEnd w:id="23"/>
      <w:bookmarkEnd w:id="24"/>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5" w:name="_amniote"/>
      <w:bookmarkStart w:id="26" w:name="_Toc535520417"/>
      <w:bookmarkStart w:id="27" w:name="_Toc535845830"/>
      <w:bookmarkEnd w:id="25"/>
      <w:r w:rsidRPr="00BA1239">
        <w:t>amniote</w:t>
      </w:r>
      <w:bookmarkEnd w:id="26"/>
      <w:bookmarkEnd w:id="27"/>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Testudines (turtles), </w:t>
      </w:r>
      <w:hyperlink w:anchor="_diapsid" w:history="1">
        <w:r w:rsidRPr="00BA1239">
          <w:rPr>
            <w:rStyle w:val="Hyperlink"/>
          </w:rPr>
          <w:t>Diapsida</w:t>
        </w:r>
      </w:hyperlink>
      <w:r w:rsidRPr="00BA1239">
        <w:t xml:space="preserve"> (lepidosaurians, crocodilians, and birds), and </w:t>
      </w:r>
      <w:hyperlink w:anchor="_synapsid" w:tooltip="ZooMoodle Glossary: synapsid" w:history="1">
        <w:r w:rsidRPr="00BA1239">
          <w:rPr>
            <w:rStyle w:val="Hyperlink"/>
          </w:rPr>
          <w:t>Synapsida</w:t>
        </w:r>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8" w:name="_anapsid"/>
      <w:bookmarkStart w:id="29" w:name="_Toc535520418"/>
      <w:bookmarkStart w:id="30" w:name="_Toc535845831"/>
      <w:bookmarkEnd w:id="28"/>
      <w:r w:rsidRPr="00BA1239">
        <w:t>anapsid</w:t>
      </w:r>
      <w:bookmarkEnd w:id="29"/>
      <w:bookmarkEnd w:id="30"/>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Parareptilia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56" w:anchor="zoomoodle_glossary_basal" w:history="1">
        <w:r w:rsidRPr="00BA1239">
          <w:rPr>
            <w:rStyle w:val="Hyperlink"/>
          </w:rPr>
          <w:t xml:space="preserve"> </w:t>
        </w:r>
      </w:hyperlink>
      <w:r w:rsidRPr="00BA1239">
        <w:t xml:space="preserve">eureptiles (the extinct precursors of </w:t>
      </w:r>
      <w:hyperlink w:anchor="_diapsid" w:history="1">
        <w:r w:rsidRPr="00BA1239">
          <w:rPr>
            <w:rStyle w:val="Hyperlink"/>
          </w:rPr>
          <w:t>diapsids</w:t>
        </w:r>
      </w:hyperlink>
      <w:r w:rsidRPr="00BA1239">
        <w:t>).</w:t>
      </w:r>
      <w:r w:rsidRPr="00BA1239">
        <w:br/>
      </w:r>
      <w:r w:rsidRPr="00BA1239">
        <w:br/>
        <w:t>Note that the Testudines (turtles and relatives) have modified the anapsid condition through a reduction (emargination)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1" w:name="_Apatite"/>
      <w:bookmarkStart w:id="32" w:name="_Toc535520419"/>
      <w:bookmarkStart w:id="33" w:name="_Toc535845832"/>
      <w:bookmarkEnd w:id="31"/>
      <w:r w:rsidRPr="00BA1239">
        <w:t>Apatite</w:t>
      </w:r>
      <w:bookmarkEnd w:id="32"/>
      <w:bookmarkEnd w:id="33"/>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4" w:name="_Toc535520420"/>
      <w:bookmarkStart w:id="35" w:name="_Toc535845833"/>
      <w:r w:rsidRPr="00BA1239">
        <w:t>apomorphy</w:t>
      </w:r>
      <w:bookmarkEnd w:id="34"/>
      <w:bookmarkEnd w:id="35"/>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6" w:name="_Appendicular_skeleton"/>
      <w:bookmarkStart w:id="37" w:name="_Toc535520421"/>
      <w:bookmarkStart w:id="38" w:name="_Toc535845834"/>
      <w:bookmarkEnd w:id="36"/>
      <w:r w:rsidRPr="00BA1239">
        <w:t>Appendicular skeleton</w:t>
      </w:r>
      <w:bookmarkEnd w:id="37"/>
      <w:bookmarkEnd w:id="38"/>
    </w:p>
    <w:p w:rsidR="006169CF" w:rsidRPr="00BA1239" w:rsidRDefault="006169CF" w:rsidP="006169CF">
      <w:pPr>
        <w:ind w:left="720"/>
      </w:pPr>
      <w:r w:rsidRPr="00BA1239">
        <w:t xml:space="preserve">The endoskeletal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9" w:name="_Toc535520422"/>
      <w:bookmarkStart w:id="40" w:name="_Toc535845835"/>
      <w:r w:rsidRPr="00BA1239">
        <w:t>Axial skeleton</w:t>
      </w:r>
      <w:bookmarkEnd w:id="39"/>
      <w:bookmarkEnd w:id="40"/>
    </w:p>
    <w:p w:rsidR="006169CF" w:rsidRPr="00BA1239" w:rsidRDefault="006169CF" w:rsidP="006169CF">
      <w:pPr>
        <w:ind w:left="720"/>
      </w:pPr>
      <w:r w:rsidRPr="00BA1239">
        <w:t xml:space="preserve">All parts of the vertebrate endoskeleton except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41" w:name="_Toc535520423"/>
      <w:bookmarkStart w:id="42" w:name="_Toc535845836"/>
      <w:r w:rsidRPr="00BA1239">
        <w:t>B</w:t>
      </w:r>
      <w:bookmarkEnd w:id="41"/>
      <w:bookmarkEnd w:id="42"/>
    </w:p>
    <w:p w:rsidR="006169CF" w:rsidRPr="00BA1239" w:rsidRDefault="006169CF" w:rsidP="006169CF"/>
    <w:p w:rsidR="006169CF" w:rsidRPr="00BA1239" w:rsidRDefault="006169CF" w:rsidP="00BA1239">
      <w:pPr>
        <w:pStyle w:val="Heading3"/>
      </w:pPr>
      <w:bookmarkStart w:id="43" w:name="_Basal"/>
      <w:bookmarkStart w:id="44" w:name="_Toc535520424"/>
      <w:bookmarkStart w:id="45" w:name="_Toc535845837"/>
      <w:bookmarkEnd w:id="43"/>
      <w:r w:rsidRPr="00BA1239">
        <w:t>Basal</w:t>
      </w:r>
      <w:bookmarkEnd w:id="44"/>
      <w:bookmarkEnd w:id="45"/>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6" w:name="_Bicuspid"/>
      <w:bookmarkStart w:id="47" w:name="_Toc535520425"/>
      <w:bookmarkStart w:id="48" w:name="_Toc535845838"/>
      <w:bookmarkEnd w:id="46"/>
      <w:r w:rsidRPr="00BA1239">
        <w:lastRenderedPageBreak/>
        <w:t>Bicuspid</w:t>
      </w:r>
      <w:bookmarkEnd w:id="47"/>
      <w:bookmarkEnd w:id="48"/>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49" w:name="_Toc535520426"/>
      <w:bookmarkStart w:id="50" w:name="_Toc535845839"/>
      <w:r w:rsidRPr="00BA1239">
        <w:t>C</w:t>
      </w:r>
      <w:bookmarkEnd w:id="49"/>
      <w:bookmarkEnd w:id="50"/>
    </w:p>
    <w:p w:rsidR="006169CF" w:rsidRPr="00BA1239" w:rsidRDefault="006169CF" w:rsidP="006169CF"/>
    <w:p w:rsidR="006169CF" w:rsidRPr="00BA1239" w:rsidRDefault="006169CF" w:rsidP="00BA1239">
      <w:pPr>
        <w:pStyle w:val="Heading3"/>
      </w:pPr>
      <w:bookmarkStart w:id="51" w:name="_Toc535520427"/>
      <w:bookmarkStart w:id="52" w:name="_Toc535845840"/>
      <w:r w:rsidRPr="00BA1239">
        <w:t>Calcified cartilage</w:t>
      </w:r>
      <w:bookmarkEnd w:id="51"/>
      <w:bookmarkEnd w:id="52"/>
    </w:p>
    <w:p w:rsidR="006169CF" w:rsidRPr="00BA1239" w:rsidRDefault="00532CF9"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Chondrichthians.</w:t>
      </w:r>
      <w:r w:rsidR="006169CF" w:rsidRPr="00BA1239">
        <w:cr/>
      </w:r>
    </w:p>
    <w:p w:rsidR="006169CF" w:rsidRPr="00BA1239" w:rsidRDefault="006169CF" w:rsidP="006169CF">
      <w:pPr>
        <w:ind w:left="720"/>
      </w:pPr>
    </w:p>
    <w:p w:rsidR="006169CF" w:rsidRPr="00BA1239" w:rsidRDefault="006169CF" w:rsidP="00BA1239">
      <w:pPr>
        <w:pStyle w:val="Heading3"/>
      </w:pPr>
      <w:bookmarkStart w:id="53" w:name="_Cartilage"/>
      <w:bookmarkStart w:id="54" w:name="_Toc535520428"/>
      <w:bookmarkStart w:id="55" w:name="_Toc535845841"/>
      <w:bookmarkEnd w:id="53"/>
      <w:r w:rsidRPr="00BA1239">
        <w:t>Cartilage</w:t>
      </w:r>
      <w:bookmarkEnd w:id="54"/>
      <w:bookmarkEnd w:id="55"/>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6" w:name="_Clade"/>
      <w:bookmarkStart w:id="57" w:name="_Toc535520429"/>
      <w:bookmarkStart w:id="58" w:name="_Toc535845842"/>
      <w:bookmarkEnd w:id="56"/>
      <w:r w:rsidRPr="00BA1239">
        <w:t>Clade</w:t>
      </w:r>
      <w:bookmarkEnd w:id="57"/>
      <w:bookmarkEnd w:id="58"/>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r w:rsidRPr="00BA1239">
          <w:rPr>
            <w:rStyle w:val="Hyperlink"/>
          </w:rPr>
          <w:t>taxon</w:t>
        </w:r>
      </w:hyperlink>
      <w:r w:rsidRPr="00BA1239">
        <w:t xml:space="preserve"> and a clade is that a clade must include all descendant species from a common ancestor, whereas a </w:t>
      </w:r>
      <w:hyperlink w:anchor="_taxon" w:tooltip="ZooMoodle Glossary: taxon" w:history="1">
        <w:r w:rsidRPr="00BA1239">
          <w:rPr>
            <w:rStyle w:val="Hyperlink"/>
          </w:rPr>
          <w:t>taxon</w:t>
        </w:r>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9" w:name="_cladistic"/>
      <w:bookmarkStart w:id="60" w:name="_Toc535520430"/>
      <w:bookmarkStart w:id="61" w:name="_Toc535845843"/>
      <w:bookmarkEnd w:id="59"/>
      <w:r w:rsidRPr="00BA1239">
        <w:t>cladistic</w:t>
      </w:r>
      <w:bookmarkEnd w:id="60"/>
      <w:bookmarkEnd w:id="61"/>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62" w:name="_cladogram"/>
      <w:bookmarkStart w:id="63" w:name="_Toc535520431"/>
      <w:bookmarkStart w:id="64" w:name="_Toc535845844"/>
      <w:bookmarkEnd w:id="62"/>
      <w:r w:rsidRPr="00BA1239">
        <w:t>cladogram</w:t>
      </w:r>
      <w:bookmarkEnd w:id="63"/>
      <w:bookmarkEnd w:id="64"/>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5" w:name="_cloaca"/>
      <w:bookmarkStart w:id="66" w:name="_Toc535520432"/>
      <w:bookmarkStart w:id="67" w:name="_Toc535845845"/>
      <w:bookmarkEnd w:id="65"/>
      <w:r w:rsidRPr="00BA1239">
        <w:t>cloaca</w:t>
      </w:r>
      <w:bookmarkEnd w:id="66"/>
      <w:bookmarkEnd w:id="67"/>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8" w:name="_Toc535520433"/>
      <w:bookmarkStart w:id="69" w:name="_Toc535845846"/>
      <w:r w:rsidRPr="00BA1239">
        <w:t>Cursorial</w:t>
      </w:r>
      <w:bookmarkEnd w:id="68"/>
      <w:bookmarkEnd w:id="69"/>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0" w:name="_Cusp"/>
      <w:bookmarkStart w:id="71" w:name="_Toc535520434"/>
      <w:bookmarkStart w:id="72" w:name="_Toc535845847"/>
      <w:bookmarkEnd w:id="70"/>
      <w:r w:rsidRPr="00BA1239">
        <w:t>Cusp</w:t>
      </w:r>
      <w:bookmarkEnd w:id="71"/>
      <w:bookmarkEnd w:id="72"/>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73" w:name="_Toc535520435"/>
      <w:bookmarkStart w:id="74" w:name="_Toc535845848"/>
      <w:r w:rsidRPr="00BA1239">
        <w:t>D</w:t>
      </w:r>
      <w:bookmarkEnd w:id="73"/>
      <w:bookmarkEnd w:id="74"/>
    </w:p>
    <w:p w:rsidR="006169CF" w:rsidRPr="00BA1239" w:rsidRDefault="006169CF" w:rsidP="006169CF"/>
    <w:p w:rsidR="006169CF" w:rsidRPr="00BA1239" w:rsidRDefault="006169CF" w:rsidP="00BA1239">
      <w:pPr>
        <w:pStyle w:val="Heading3"/>
      </w:pPr>
      <w:bookmarkStart w:id="75" w:name="_Dentary"/>
      <w:bookmarkStart w:id="76" w:name="_Toc535520436"/>
      <w:bookmarkStart w:id="77" w:name="_Toc535845849"/>
      <w:bookmarkEnd w:id="75"/>
      <w:r w:rsidRPr="00BA1239">
        <w:lastRenderedPageBreak/>
        <w:t>Dentary</w:t>
      </w:r>
      <w:bookmarkEnd w:id="76"/>
      <w:bookmarkEnd w:id="77"/>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78" w:name="_Dentine"/>
      <w:bookmarkStart w:id="79" w:name="_Toc535520437"/>
      <w:bookmarkStart w:id="80" w:name="_Toc535845850"/>
      <w:bookmarkEnd w:id="78"/>
      <w:r w:rsidRPr="00BA1239">
        <w:t>Dentine</w:t>
      </w:r>
      <w:bookmarkEnd w:id="79"/>
      <w:bookmarkEnd w:id="80"/>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1" w:name="_Dermal_bone"/>
      <w:bookmarkStart w:id="82" w:name="_Toc535520438"/>
      <w:bookmarkStart w:id="83" w:name="_Toc535845851"/>
      <w:bookmarkEnd w:id="81"/>
      <w:r w:rsidRPr="00BA1239">
        <w:t>Dermal bone</w:t>
      </w:r>
      <w:bookmarkEnd w:id="82"/>
      <w:bookmarkEnd w:id="83"/>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4" w:name="_diapsid"/>
      <w:bookmarkStart w:id="85" w:name="_Toc535520439"/>
      <w:bookmarkStart w:id="86" w:name="_Toc535845852"/>
      <w:bookmarkEnd w:id="84"/>
      <w:r w:rsidRPr="00BA1239">
        <w:t>diapsid</w:t>
      </w:r>
      <w:bookmarkEnd w:id="85"/>
      <w:bookmarkEnd w:id="86"/>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lepidosaurs (lizards, snakes, and tuatara), archosaurs (crocodilians, dinosaurs, and birds), and their other extinct relatives. </w:t>
      </w:r>
      <w:r w:rsidRPr="00BA1239">
        <w:br/>
      </w:r>
      <w:r w:rsidRPr="00BA1239">
        <w:br/>
        <w:t xml:space="preserve">Note that some diapsids,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87" w:name="_Toc535520440"/>
      <w:bookmarkStart w:id="88" w:name="_Toc535845853"/>
      <w:r w:rsidRPr="00BA1239">
        <w:t>E</w:t>
      </w:r>
      <w:bookmarkEnd w:id="87"/>
      <w:bookmarkEnd w:id="88"/>
    </w:p>
    <w:p w:rsidR="006169CF" w:rsidRPr="00BA1239" w:rsidRDefault="006169CF" w:rsidP="006169CF"/>
    <w:p w:rsidR="006169CF" w:rsidRPr="00BA1239" w:rsidRDefault="006169CF" w:rsidP="00BA1239">
      <w:pPr>
        <w:pStyle w:val="Heading3"/>
      </w:pPr>
      <w:bookmarkStart w:id="89" w:name="_Enamel"/>
      <w:bookmarkStart w:id="90" w:name="_Toc535520441"/>
      <w:bookmarkStart w:id="91" w:name="_Toc535845854"/>
      <w:bookmarkEnd w:id="89"/>
      <w:r w:rsidRPr="00BA1239">
        <w:t>Enamel</w:t>
      </w:r>
      <w:bookmarkEnd w:id="90"/>
      <w:bookmarkEnd w:id="91"/>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2" w:name="_Endopterygota"/>
      <w:bookmarkStart w:id="93" w:name="_Toc535520442"/>
      <w:bookmarkStart w:id="94" w:name="_Toc535845855"/>
      <w:bookmarkEnd w:id="92"/>
      <w:r w:rsidRPr="00BA1239">
        <w:t>Endopterygota</w:t>
      </w:r>
      <w:bookmarkEnd w:id="93"/>
      <w:bookmarkEnd w:id="94"/>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insects charachterised by their undergoing complete metamorphosis (i.e. </w:t>
      </w:r>
      <w:hyperlink w:anchor="_Holometabolous" w:tooltip="ZooMoodle Glossary: Holometabolous" w:history="1">
        <w:r w:rsidRPr="00BA1239">
          <w:rPr>
            <w:rStyle w:val="Hyperlink"/>
          </w:rPr>
          <w:t>holometabolous</w:t>
        </w:r>
      </w:hyperlink>
      <w:r w:rsidRPr="00BA1239">
        <w:t>).</w:t>
      </w:r>
      <w:r w:rsidRPr="00BA1239">
        <w:br/>
      </w:r>
      <w:r w:rsidRPr="00BA1239">
        <w:br/>
        <w:t xml:space="preserve">See Insect Diversity WebBook for the </w:t>
      </w:r>
      <w:hyperlink w:anchor="_Clade" w:tooltip="ZooMoodle Glossary: Clade" w:history="1">
        <w:r w:rsidRPr="00BA1239">
          <w:rPr>
            <w:rStyle w:val="Hyperlink"/>
          </w:rPr>
          <w:t>clades</w:t>
        </w:r>
      </w:hyperlink>
      <w:r w:rsidRPr="00BA1239">
        <w:t xml:space="preserve"> within (from Neuroptera down).</w:t>
      </w:r>
      <w:r w:rsidRPr="00BA1239">
        <w:cr/>
      </w:r>
    </w:p>
    <w:p w:rsidR="006169CF" w:rsidRPr="00BA1239" w:rsidRDefault="006169CF" w:rsidP="006169CF">
      <w:pPr>
        <w:ind w:left="720"/>
      </w:pPr>
    </w:p>
    <w:p w:rsidR="006169CF" w:rsidRPr="00BA1239" w:rsidRDefault="006169CF" w:rsidP="00BA1239">
      <w:pPr>
        <w:pStyle w:val="Heading3"/>
      </w:pPr>
      <w:bookmarkStart w:id="95" w:name="_Epidermal"/>
      <w:bookmarkStart w:id="96" w:name="_Toc535520443"/>
      <w:bookmarkStart w:id="97" w:name="_Toc535845856"/>
      <w:bookmarkEnd w:id="95"/>
      <w:r w:rsidRPr="00BA1239">
        <w:t>Epidermal</w:t>
      </w:r>
      <w:bookmarkEnd w:id="96"/>
      <w:bookmarkEnd w:id="97"/>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8" w:name="_euryapsid"/>
      <w:bookmarkStart w:id="99" w:name="_Toc535520444"/>
      <w:bookmarkStart w:id="100" w:name="_Toc535845857"/>
      <w:bookmarkEnd w:id="98"/>
      <w:r w:rsidRPr="00BA1239">
        <w:t>euryapsid</w:t>
      </w:r>
      <w:bookmarkEnd w:id="99"/>
      <w:bookmarkEnd w:id="100"/>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r w:rsidRPr="00BA1239">
          <w:rPr>
            <w:rStyle w:val="Hyperlink"/>
          </w:rPr>
          <w:t>amniote</w:t>
        </w:r>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r w:rsidRPr="00BA1239">
          <w:rPr>
            <w:rStyle w:val="Hyperlink"/>
          </w:rPr>
          <w:t>Euryapsids</w:t>
        </w:r>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101" w:name="_extant"/>
      <w:bookmarkStart w:id="102" w:name="_Toc535520445"/>
      <w:bookmarkStart w:id="103" w:name="_Toc535845858"/>
      <w:bookmarkEnd w:id="101"/>
      <w:r w:rsidRPr="00BA1239">
        <w:t>extant</w:t>
      </w:r>
      <w:bookmarkEnd w:id="102"/>
      <w:bookmarkEnd w:id="103"/>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104" w:name="_Toc535520446"/>
      <w:bookmarkStart w:id="105" w:name="_Toc535845859"/>
      <w:r w:rsidRPr="00BA1239">
        <w:t>F</w:t>
      </w:r>
      <w:bookmarkEnd w:id="104"/>
      <w:bookmarkEnd w:id="105"/>
    </w:p>
    <w:p w:rsidR="006169CF" w:rsidRPr="00BA1239" w:rsidRDefault="006169CF" w:rsidP="006169CF"/>
    <w:p w:rsidR="006169CF" w:rsidRPr="00BA1239" w:rsidRDefault="006169CF" w:rsidP="00BA1239">
      <w:pPr>
        <w:pStyle w:val="Heading3"/>
      </w:pPr>
      <w:bookmarkStart w:id="106" w:name="_fossorial"/>
      <w:bookmarkStart w:id="107" w:name="_Toc535520447"/>
      <w:bookmarkStart w:id="108" w:name="_Toc535845860"/>
      <w:bookmarkEnd w:id="106"/>
      <w:r w:rsidRPr="00BA1239">
        <w:t>fossorial</w:t>
      </w:r>
      <w:bookmarkEnd w:id="107"/>
      <w:bookmarkEnd w:id="108"/>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09" w:name="_furcula"/>
      <w:bookmarkStart w:id="110" w:name="_Toc535520448"/>
      <w:bookmarkStart w:id="111" w:name="_Toc535845861"/>
      <w:bookmarkEnd w:id="109"/>
      <w:r w:rsidRPr="00BA1239">
        <w:t>furcula</w:t>
      </w:r>
      <w:bookmarkEnd w:id="110"/>
      <w:bookmarkEnd w:id="111"/>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12" w:name="_Toc535520449"/>
      <w:bookmarkStart w:id="113" w:name="_Toc535845862"/>
      <w:r w:rsidRPr="00BA1239">
        <w:t>H</w:t>
      </w:r>
      <w:bookmarkEnd w:id="112"/>
      <w:bookmarkEnd w:id="113"/>
    </w:p>
    <w:p w:rsidR="006169CF" w:rsidRPr="00BA1239" w:rsidRDefault="006169CF" w:rsidP="006169CF">
      <w:pPr>
        <w:rPr>
          <w:b/>
          <w:bCs/>
        </w:rPr>
      </w:pPr>
    </w:p>
    <w:p w:rsidR="006169CF" w:rsidRPr="00BA1239" w:rsidRDefault="006169CF" w:rsidP="00BA1239">
      <w:pPr>
        <w:pStyle w:val="Heading3"/>
      </w:pPr>
      <w:bookmarkStart w:id="114" w:name="_Toc535520450"/>
      <w:bookmarkStart w:id="115" w:name="_Toc535845863"/>
      <w:r w:rsidRPr="00BA1239">
        <w:t>Hemimetabolous</w:t>
      </w:r>
      <w:bookmarkEnd w:id="114"/>
      <w:bookmarkEnd w:id="115"/>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Some hemimetabolous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6" w:name="_Holometabolous"/>
      <w:bookmarkStart w:id="117" w:name="_Toc535520451"/>
      <w:bookmarkStart w:id="118" w:name="_Toc535845864"/>
      <w:bookmarkEnd w:id="116"/>
      <w:r w:rsidRPr="00BA1239">
        <w:t>Holometabolous</w:t>
      </w:r>
      <w:bookmarkEnd w:id="117"/>
      <w:bookmarkEnd w:id="118"/>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exlusively in the </w:t>
      </w:r>
      <w:hyperlink w:anchor="_Endopterygota" w:tooltip="ZooMoodle Glossary: Endopterygota" w:history="1">
        <w:r w:rsidRPr="00BA1239">
          <w:rPr>
            <w:rStyle w:val="Hyperlink"/>
            <w:bCs/>
          </w:rPr>
          <w:t>Endopterygota</w:t>
        </w:r>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9" w:name="_Horny"/>
      <w:bookmarkStart w:id="120" w:name="_Toc535520452"/>
      <w:bookmarkStart w:id="121" w:name="_Toc535845865"/>
      <w:bookmarkEnd w:id="119"/>
      <w:r w:rsidRPr="00BA1239">
        <w:t>Horny</w:t>
      </w:r>
      <w:bookmarkEnd w:id="120"/>
      <w:bookmarkEnd w:id="121"/>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2" w:name="_Toc535520453"/>
      <w:bookmarkStart w:id="123" w:name="_Toc535845866"/>
      <w:r w:rsidRPr="00BA1239">
        <w:t>I</w:t>
      </w:r>
      <w:bookmarkEnd w:id="122"/>
      <w:bookmarkEnd w:id="123"/>
    </w:p>
    <w:p w:rsidR="006169CF" w:rsidRPr="00BA1239" w:rsidRDefault="006169CF" w:rsidP="006169CF">
      <w:pPr>
        <w:rPr>
          <w:bCs/>
        </w:rPr>
      </w:pPr>
    </w:p>
    <w:p w:rsidR="006169CF" w:rsidRPr="00BA1239" w:rsidRDefault="006169CF" w:rsidP="00BA1239">
      <w:pPr>
        <w:pStyle w:val="Heading3"/>
      </w:pPr>
      <w:bookmarkStart w:id="124" w:name="_ilium"/>
      <w:bookmarkStart w:id="125" w:name="_Toc535520454"/>
      <w:bookmarkStart w:id="126" w:name="_Toc535845867"/>
      <w:bookmarkEnd w:id="124"/>
      <w:r w:rsidRPr="00BA1239">
        <w:t>ilium</w:t>
      </w:r>
      <w:bookmarkEnd w:id="125"/>
      <w:bookmarkEnd w:id="126"/>
    </w:p>
    <w:p w:rsidR="006169CF" w:rsidRPr="00BA1239" w:rsidRDefault="006169CF" w:rsidP="006169CF">
      <w:pPr>
        <w:ind w:left="720"/>
        <w:rPr>
          <w:bCs/>
        </w:rPr>
      </w:pPr>
      <w:r w:rsidRPr="00BA1239">
        <w:rPr>
          <w:bCs/>
        </w:rPr>
        <w:t xml:space="preserve">In tetrapods,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7" w:name="_Toc535520455"/>
      <w:bookmarkStart w:id="128" w:name="_Toc535845868"/>
      <w:r w:rsidRPr="00BA1239">
        <w:t>K</w:t>
      </w:r>
      <w:bookmarkEnd w:id="127"/>
      <w:bookmarkEnd w:id="128"/>
    </w:p>
    <w:p w:rsidR="006169CF" w:rsidRPr="00BA1239" w:rsidRDefault="006169CF" w:rsidP="006169CF">
      <w:pPr>
        <w:rPr>
          <w:b/>
          <w:bCs/>
        </w:rPr>
      </w:pPr>
    </w:p>
    <w:p w:rsidR="006169CF" w:rsidRPr="00BA1239" w:rsidRDefault="006169CF" w:rsidP="00BA1239">
      <w:pPr>
        <w:pStyle w:val="Heading3"/>
      </w:pPr>
      <w:bookmarkStart w:id="129" w:name="_Kinetic"/>
      <w:bookmarkStart w:id="130" w:name="_Toc535520456"/>
      <w:bookmarkStart w:id="131" w:name="_Toc535845869"/>
      <w:bookmarkEnd w:id="129"/>
      <w:r w:rsidRPr="00BA1239">
        <w:t>Kinetic</w:t>
      </w:r>
      <w:bookmarkEnd w:id="130"/>
      <w:bookmarkEnd w:id="131"/>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2" w:name="_Toc535520457"/>
      <w:bookmarkStart w:id="133" w:name="_Toc535845870"/>
      <w:r w:rsidRPr="00BA1239">
        <w:t>L</w:t>
      </w:r>
      <w:bookmarkEnd w:id="132"/>
      <w:bookmarkEnd w:id="133"/>
    </w:p>
    <w:p w:rsidR="006169CF" w:rsidRPr="00BA1239" w:rsidRDefault="006169CF" w:rsidP="006169CF">
      <w:pPr>
        <w:rPr>
          <w:bCs/>
        </w:rPr>
      </w:pPr>
    </w:p>
    <w:p w:rsidR="006169CF" w:rsidRPr="00BA1239" w:rsidRDefault="006169CF" w:rsidP="00BA1239">
      <w:pPr>
        <w:pStyle w:val="Heading3"/>
      </w:pPr>
      <w:bookmarkStart w:id="134" w:name="_Toc535520458"/>
      <w:bookmarkStart w:id="135" w:name="_Toc535845871"/>
      <w:r w:rsidRPr="00BA1239">
        <w:t>Lymph heart</w:t>
      </w:r>
      <w:bookmarkEnd w:id="134"/>
      <w:bookmarkEnd w:id="135"/>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6" w:name="_Toc535520459"/>
      <w:bookmarkStart w:id="137" w:name="_Toc535845872"/>
      <w:r w:rsidRPr="00BA1239">
        <w:t>M</w:t>
      </w:r>
      <w:bookmarkEnd w:id="136"/>
      <w:bookmarkEnd w:id="137"/>
    </w:p>
    <w:p w:rsidR="006169CF" w:rsidRPr="00BA1239" w:rsidRDefault="006169CF" w:rsidP="006169CF">
      <w:pPr>
        <w:rPr>
          <w:bCs/>
        </w:rPr>
      </w:pPr>
    </w:p>
    <w:p w:rsidR="006169CF" w:rsidRPr="00BA1239" w:rsidRDefault="006169CF" w:rsidP="00BA1239">
      <w:pPr>
        <w:pStyle w:val="Heading3"/>
      </w:pPr>
      <w:bookmarkStart w:id="138" w:name="_Toc535520460"/>
      <w:bookmarkStart w:id="139" w:name="_Toc535845873"/>
      <w:r w:rsidRPr="00BA1239">
        <w:t>Metacone</w:t>
      </w:r>
      <w:bookmarkEnd w:id="138"/>
      <w:bookmarkEnd w:id="139"/>
    </w:p>
    <w:p w:rsidR="006169CF" w:rsidRPr="00BA1239" w:rsidRDefault="006169CF" w:rsidP="006169CF">
      <w:pPr>
        <w:ind w:left="720"/>
        <w:rPr>
          <w:bCs/>
        </w:rPr>
      </w:pPr>
      <w:r w:rsidRPr="00BA1239">
        <w:rPr>
          <w:bCs/>
        </w:rPr>
        <w:t>In mammals, the metacone is the distobuccal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0" w:name="_monophyletic"/>
      <w:bookmarkStart w:id="141" w:name="_Toc535520461"/>
      <w:bookmarkStart w:id="142" w:name="_Toc535845874"/>
      <w:bookmarkEnd w:id="140"/>
      <w:r w:rsidRPr="00BA1239">
        <w:t>monophyletic</w:t>
      </w:r>
      <w:bookmarkEnd w:id="141"/>
      <w:bookmarkEnd w:id="142"/>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3" w:name="_Toc535520462"/>
      <w:bookmarkStart w:id="144" w:name="_Toc535845875"/>
      <w:r w:rsidRPr="00BA1239">
        <w:t>Myrmecophagy</w:t>
      </w:r>
      <w:bookmarkEnd w:id="143"/>
      <w:bookmarkEnd w:id="144"/>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5" w:name="_Toc535520463"/>
      <w:bookmarkStart w:id="146" w:name="_Toc535845876"/>
      <w:r w:rsidRPr="00BA1239">
        <w:t>O</w:t>
      </w:r>
      <w:bookmarkEnd w:id="145"/>
      <w:bookmarkEnd w:id="146"/>
    </w:p>
    <w:p w:rsidR="006169CF" w:rsidRPr="00BA1239" w:rsidRDefault="006169CF" w:rsidP="006169CF">
      <w:pPr>
        <w:rPr>
          <w:bCs/>
        </w:rPr>
      </w:pPr>
    </w:p>
    <w:p w:rsidR="006169CF" w:rsidRPr="00BA1239" w:rsidRDefault="006169CF" w:rsidP="00BA1239">
      <w:pPr>
        <w:pStyle w:val="Heading3"/>
      </w:pPr>
      <w:bookmarkStart w:id="147" w:name="_Orbit"/>
      <w:bookmarkStart w:id="148" w:name="_Toc535520464"/>
      <w:bookmarkStart w:id="149" w:name="_Toc535845877"/>
      <w:bookmarkEnd w:id="147"/>
      <w:r w:rsidRPr="00BA1239">
        <w:t>Orbit</w:t>
      </w:r>
      <w:bookmarkEnd w:id="148"/>
      <w:bookmarkEnd w:id="149"/>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0" w:name="_Toc535520465"/>
      <w:bookmarkStart w:id="151" w:name="_Toc535845878"/>
      <w:r w:rsidRPr="00BA1239">
        <w:t>Osteosclerosis</w:t>
      </w:r>
      <w:bookmarkEnd w:id="150"/>
      <w:bookmarkEnd w:id="151"/>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52" w:name="_P"/>
      <w:bookmarkStart w:id="153" w:name="_Toc535520466"/>
      <w:bookmarkStart w:id="154" w:name="_Toc535845879"/>
      <w:bookmarkEnd w:id="152"/>
      <w:r w:rsidRPr="00BA1239">
        <w:t>P</w:t>
      </w:r>
      <w:bookmarkEnd w:id="153"/>
      <w:bookmarkEnd w:id="154"/>
    </w:p>
    <w:p w:rsidR="006169CF" w:rsidRPr="00BA1239" w:rsidRDefault="006169CF" w:rsidP="006169CF">
      <w:pPr>
        <w:rPr>
          <w:bCs/>
        </w:rPr>
      </w:pPr>
    </w:p>
    <w:p w:rsidR="006169CF" w:rsidRPr="00BA1239" w:rsidRDefault="006169CF" w:rsidP="00BA1239">
      <w:pPr>
        <w:pStyle w:val="Heading3"/>
      </w:pPr>
      <w:bookmarkStart w:id="155" w:name="_Toc535520467"/>
      <w:bookmarkStart w:id="156" w:name="_Toc535845880"/>
      <w:r w:rsidRPr="00BA1239">
        <w:lastRenderedPageBreak/>
        <w:t>Pachyostosis</w:t>
      </w:r>
      <w:bookmarkEnd w:id="155"/>
      <w:bookmarkEnd w:id="156"/>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7" w:name="_Toc535520468"/>
      <w:bookmarkStart w:id="158" w:name="_Toc535845881"/>
      <w:r w:rsidRPr="00BA1239">
        <w:t>Paracone</w:t>
      </w:r>
      <w:bookmarkEnd w:id="157"/>
      <w:bookmarkEnd w:id="158"/>
    </w:p>
    <w:p w:rsidR="006169CF" w:rsidRPr="00BA1239" w:rsidRDefault="006169CF" w:rsidP="006169CF">
      <w:pPr>
        <w:ind w:left="720"/>
        <w:rPr>
          <w:bCs/>
        </w:rPr>
      </w:pPr>
      <w:r w:rsidRPr="00BA1239">
        <w:rPr>
          <w:bCs/>
        </w:rPr>
        <w:t xml:space="preserve">In mammals, the paracone is the mesiobuccal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9" w:name="_Paraphyletic"/>
      <w:bookmarkStart w:id="160" w:name="_Toc535520469"/>
      <w:bookmarkStart w:id="161" w:name="_Toc535845882"/>
      <w:bookmarkEnd w:id="159"/>
      <w:r w:rsidRPr="00BA1239">
        <w:t>Paraphyletic</w:t>
      </w:r>
      <w:bookmarkEnd w:id="160"/>
      <w:bookmarkEnd w:id="161"/>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For example, the class Reptilia is paraphyletic, as it does not include birds, who are considered a separate class: Aves. However, birds evolved from theropod dinosaurs, and are therefore reptiles themselves. Similarly, all tetrapods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2" w:name="_Pectoral_girdle"/>
      <w:bookmarkStart w:id="163" w:name="_Toc535520470"/>
      <w:bookmarkStart w:id="164" w:name="_Toc535845883"/>
      <w:bookmarkEnd w:id="162"/>
      <w:r w:rsidRPr="00BA1239">
        <w:t>Pectoral girdle</w:t>
      </w:r>
      <w:bookmarkEnd w:id="163"/>
      <w:bookmarkEnd w:id="164"/>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65" w:name="_Pelvic_girdle"/>
      <w:bookmarkStart w:id="166" w:name="_Toc535520471"/>
      <w:bookmarkStart w:id="167" w:name="_Toc535845884"/>
      <w:bookmarkEnd w:id="165"/>
      <w:r w:rsidRPr="00BA1239">
        <w:rPr>
          <w:bCs/>
        </w:rPr>
        <w:t>Pelvic girdle</w:t>
      </w:r>
      <w:bookmarkEnd w:id="166"/>
      <w:bookmarkEnd w:id="167"/>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8" w:name="_phylogeny"/>
      <w:bookmarkStart w:id="169" w:name="_Toc535520472"/>
      <w:bookmarkStart w:id="170" w:name="_Toc535845885"/>
      <w:bookmarkEnd w:id="168"/>
      <w:r w:rsidRPr="00BA1239">
        <w:t>phylogeny</w:t>
      </w:r>
      <w:bookmarkEnd w:id="169"/>
      <w:bookmarkEnd w:id="170"/>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1" w:name="_plesiomorphy"/>
      <w:bookmarkStart w:id="172" w:name="_Toc535520473"/>
      <w:bookmarkStart w:id="173" w:name="_Toc535845886"/>
      <w:bookmarkEnd w:id="171"/>
      <w:r w:rsidRPr="00BA1239">
        <w:t>plesiomorphy</w:t>
      </w:r>
      <w:bookmarkEnd w:id="172"/>
      <w:bookmarkEnd w:id="173"/>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4" w:name="_polyphyletic"/>
      <w:bookmarkStart w:id="175" w:name="_Toc535520474"/>
      <w:bookmarkStart w:id="176" w:name="_Toc535845887"/>
      <w:bookmarkEnd w:id="174"/>
      <w:r w:rsidRPr="00BA1239">
        <w:t>polyphyletic</w:t>
      </w:r>
      <w:bookmarkEnd w:id="175"/>
      <w:bookmarkEnd w:id="176"/>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insectivorious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7" w:name="_Toc535520475"/>
      <w:bookmarkStart w:id="178" w:name="_Toc535845888"/>
      <w:r w:rsidRPr="00BA1239">
        <w:lastRenderedPageBreak/>
        <w:t>Protocone</w:t>
      </w:r>
      <w:bookmarkEnd w:id="177"/>
      <w:bookmarkEnd w:id="178"/>
    </w:p>
    <w:p w:rsidR="006169CF" w:rsidRPr="00BA1239" w:rsidRDefault="006169CF" w:rsidP="006169CF">
      <w:pPr>
        <w:ind w:left="720"/>
        <w:rPr>
          <w:bCs/>
        </w:rPr>
      </w:pPr>
      <w:r w:rsidRPr="00BA1239">
        <w:rPr>
          <w:bCs/>
        </w:rPr>
        <w:t xml:space="preserve">In mammals, the protocone is the mesiolingual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9" w:name="_Toc535520476"/>
      <w:bookmarkStart w:id="180" w:name="_Toc535845889"/>
      <w:r w:rsidRPr="00BA1239">
        <w:t>Pulp cavity</w:t>
      </w:r>
      <w:bookmarkEnd w:id="179"/>
      <w:bookmarkEnd w:id="180"/>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81" w:name="_Toc535520477"/>
      <w:bookmarkStart w:id="182" w:name="_Toc535845890"/>
      <w:r w:rsidRPr="00BA1239">
        <w:t>S</w:t>
      </w:r>
      <w:bookmarkEnd w:id="181"/>
      <w:bookmarkEnd w:id="182"/>
    </w:p>
    <w:p w:rsidR="006169CF" w:rsidRPr="00BA1239" w:rsidRDefault="006169CF" w:rsidP="006169CF">
      <w:pPr>
        <w:rPr>
          <w:bCs/>
        </w:rPr>
      </w:pPr>
    </w:p>
    <w:p w:rsidR="006169CF" w:rsidRPr="00BA1239" w:rsidRDefault="006169CF" w:rsidP="00BA1239">
      <w:pPr>
        <w:pStyle w:val="Heading3"/>
      </w:pPr>
      <w:bookmarkStart w:id="183" w:name="_Toc535520478"/>
      <w:bookmarkStart w:id="184" w:name="_Toc535845891"/>
      <w:r w:rsidRPr="00BA1239">
        <w:t>symplesiomorphy</w:t>
      </w:r>
      <w:bookmarkEnd w:id="183"/>
      <w:bookmarkEnd w:id="184"/>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These are characters that - at the level at which they are referred to as sym</w:t>
      </w:r>
      <w:hyperlink w:anchor="_plesiomorphy" w:tooltip="ZooMoodle Glossary: plesiomorphy" w:history="1">
        <w:r w:rsidRPr="00BA1239">
          <w:rPr>
            <w:rStyle w:val="Hyperlink"/>
            <w:bCs/>
          </w:rPr>
          <w:t>plesiomorphies</w:t>
        </w:r>
      </w:hyperlink>
      <w:r w:rsidRPr="00BA1239">
        <w:rPr>
          <w:bCs/>
        </w:rPr>
        <w:t xml:space="preserve"> - are not used to form </w:t>
      </w:r>
      <w:hyperlink w:anchor="_cladistic" w:tooltip="ZooMoodle Glossary: cladistic" w:history="1">
        <w:r w:rsidRPr="00BA1239">
          <w:rPr>
            <w:rStyle w:val="Hyperlink"/>
            <w:bCs/>
          </w:rPr>
          <w:t>cladistic</w:t>
        </w:r>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85" w:name="_synapomorphy"/>
      <w:bookmarkStart w:id="186" w:name="_Toc535520479"/>
      <w:bookmarkStart w:id="187" w:name="_Toc535845892"/>
      <w:bookmarkEnd w:id="185"/>
      <w:r w:rsidRPr="00BA1239">
        <w:t>synapomorphy</w:t>
      </w:r>
      <w:bookmarkEnd w:id="186"/>
      <w:bookmarkEnd w:id="187"/>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systematists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8" w:name="_synapsid"/>
      <w:bookmarkStart w:id="189" w:name="_Toc535520480"/>
      <w:bookmarkStart w:id="190" w:name="_Toc535845893"/>
      <w:bookmarkEnd w:id="188"/>
      <w:r w:rsidRPr="00BA1239">
        <w:t>synapsid</w:t>
      </w:r>
      <w:bookmarkEnd w:id="189"/>
      <w:bookmarkEnd w:id="190"/>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r w:rsidRPr="00BA1239">
        <w:rPr>
          <w:b/>
          <w:bCs/>
        </w:rPr>
        <w:t>Synapsida</w:t>
      </w:r>
      <w:r w:rsidRPr="00BA1239">
        <w:rPr>
          <w:bCs/>
        </w:rPr>
        <w:t>, which includes the mammals and their extinct ancestors, the non-mammalian reptile-like synapsids.</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91" w:name="_Toc535520481"/>
      <w:bookmarkStart w:id="192" w:name="_Toc535845894"/>
      <w:r w:rsidRPr="00BA1239">
        <w:t>T</w:t>
      </w:r>
      <w:bookmarkEnd w:id="191"/>
      <w:bookmarkEnd w:id="192"/>
    </w:p>
    <w:p w:rsidR="006169CF" w:rsidRPr="00BA1239" w:rsidRDefault="006169CF" w:rsidP="006169CF">
      <w:pPr>
        <w:rPr>
          <w:bCs/>
        </w:rPr>
      </w:pPr>
    </w:p>
    <w:p w:rsidR="006169CF" w:rsidRPr="00BA1239" w:rsidRDefault="006169CF" w:rsidP="00BA1239">
      <w:pPr>
        <w:pStyle w:val="Heading3"/>
      </w:pPr>
      <w:bookmarkStart w:id="193" w:name="_taxon"/>
      <w:bookmarkStart w:id="194" w:name="_Toc535520482"/>
      <w:bookmarkStart w:id="195" w:name="_Toc535845895"/>
      <w:bookmarkEnd w:id="193"/>
      <w:r w:rsidRPr="00BA1239">
        <w:t>taxon</w:t>
      </w:r>
      <w:bookmarkEnd w:id="194"/>
      <w:bookmarkEnd w:id="195"/>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taxon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taxon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96" w:name="_temporal_fenestra"/>
      <w:bookmarkStart w:id="197" w:name="_Toc535520483"/>
      <w:bookmarkStart w:id="198" w:name="_Toc535845896"/>
      <w:bookmarkEnd w:id="196"/>
      <w:r w:rsidRPr="00BA1239">
        <w:t>temporal fenestra</w:t>
      </w:r>
      <w:bookmarkEnd w:id="197"/>
      <w:bookmarkEnd w:id="198"/>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r w:rsidRPr="00BA1239">
          <w:rPr>
            <w:rStyle w:val="Hyperlink"/>
            <w:b/>
            <w:bCs/>
          </w:rPr>
          <w:t>Synapsida</w:t>
        </w:r>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r w:rsidRPr="00BA1239">
          <w:rPr>
            <w:rStyle w:val="Hyperlink"/>
            <w:b/>
            <w:bCs/>
          </w:rPr>
          <w:t>Diapsid</w:t>
        </w:r>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lepidosaurs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Parareptilia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eureptiles (the extinct precursors of </w:t>
      </w:r>
      <w:hyperlink w:anchor="_diapsid" w:tooltip="ZooMoodle Glossary: diapsid" w:history="1">
        <w:r w:rsidRPr="00BA1239">
          <w:rPr>
            <w:rStyle w:val="Hyperlink"/>
            <w:bCs/>
          </w:rPr>
          <w:t>diapsids</w:t>
        </w:r>
      </w:hyperlink>
      <w:r w:rsidRPr="00BA1239">
        <w:rPr>
          <w:bCs/>
        </w:rPr>
        <w:t xml:space="preserve">). Note that the Testudines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(emargination) of the posteriorregion of the skull.</w:t>
      </w:r>
      <w:r w:rsidRPr="00BA1239">
        <w:rPr>
          <w:bCs/>
        </w:rPr>
        <w:br/>
      </w:r>
      <w:r w:rsidRPr="00BA1239">
        <w:rPr>
          <w:bCs/>
        </w:rPr>
        <w:br/>
        <w:t xml:space="preserve">4) </w:t>
      </w:r>
      <w:hyperlink w:anchor="_euryapsid" w:tooltip="ZooMoodle Glossary: euryapsid" w:history="1">
        <w:r w:rsidRPr="00BA1239">
          <w:rPr>
            <w:rStyle w:val="Hyperlink"/>
            <w:b/>
            <w:bCs/>
          </w:rPr>
          <w:t>Euryapsid</w:t>
        </w:r>
      </w:hyperlink>
      <w:r w:rsidRPr="00BA1239">
        <w:rPr>
          <w:bCs/>
        </w:rPr>
        <w:t xml:space="preserve"> - Skull possessing an </w:t>
      </w:r>
      <w:r w:rsidRPr="00BA1239">
        <w:rPr>
          <w:b/>
          <w:bCs/>
        </w:rPr>
        <w:t>upper temporal fenestra only</w:t>
      </w:r>
      <w:r w:rsidRPr="00BA1239">
        <w:rPr>
          <w:bCs/>
        </w:rPr>
        <w:t>. However, animals with this skull condition do not represent an important</w:t>
      </w:r>
      <w:hyperlink w:anchor="_amniote" w:tooltip="ZooMoodle Glossary: amniote" w:history="1">
        <w:r w:rsidRPr="00BA1239">
          <w:rPr>
            <w:rStyle w:val="Hyperlink"/>
            <w:bCs/>
          </w:rPr>
          <w:t>amniote</w:t>
        </w:r>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r w:rsidRPr="00BA1239">
          <w:rPr>
            <w:rStyle w:val="Hyperlink"/>
            <w:bCs/>
          </w:rPr>
          <w:t>Euryapsids</w:t>
        </w:r>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99" w:name="_Toc535520484"/>
      <w:bookmarkStart w:id="200" w:name="_Toc535845897"/>
      <w:r w:rsidRPr="00BA1239">
        <w:t>V</w:t>
      </w:r>
      <w:bookmarkEnd w:id="199"/>
      <w:bookmarkEnd w:id="200"/>
    </w:p>
    <w:p w:rsidR="006169CF" w:rsidRPr="00BA1239" w:rsidRDefault="006169CF" w:rsidP="006169CF">
      <w:pPr>
        <w:rPr>
          <w:bCs/>
        </w:rPr>
      </w:pPr>
    </w:p>
    <w:p w:rsidR="006169CF" w:rsidRPr="00BA1239" w:rsidRDefault="006169CF" w:rsidP="00BA1239">
      <w:pPr>
        <w:pStyle w:val="Heading3"/>
      </w:pPr>
      <w:bookmarkStart w:id="201" w:name="_vertebrae"/>
      <w:bookmarkStart w:id="202" w:name="_Toc535520485"/>
      <w:bookmarkStart w:id="203" w:name="_Toc535845898"/>
      <w:bookmarkEnd w:id="201"/>
      <w:r w:rsidRPr="00BA1239">
        <w:t>vertebrae</w:t>
      </w:r>
      <w:bookmarkEnd w:id="202"/>
      <w:bookmarkEnd w:id="203"/>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204" w:name="_Toc535520486"/>
      <w:bookmarkStart w:id="205" w:name="_Toc535845899"/>
      <w:r w:rsidRPr="00BA1239">
        <w:rPr>
          <w:rStyle w:val="Heading3Char"/>
        </w:rPr>
        <w:t>Cervical vertebrae</w:t>
      </w:r>
      <w:bookmarkEnd w:id="204"/>
      <w:bookmarkEnd w:id="205"/>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206" w:name="_Toc535520487"/>
      <w:bookmarkStart w:id="207" w:name="_Toc535845900"/>
      <w:r w:rsidRPr="00BA1239">
        <w:rPr>
          <w:rStyle w:val="Heading3Char"/>
        </w:rPr>
        <w:t>Thoracic vertebrae</w:t>
      </w:r>
      <w:bookmarkEnd w:id="206"/>
      <w:bookmarkEnd w:id="207"/>
      <w:r w:rsidRPr="00BA1239">
        <w:t xml:space="preserve">: Articulate with the ribs that fuse with the sternum. </w:t>
      </w:r>
    </w:p>
    <w:p w:rsidR="006169CF" w:rsidRPr="00BA1239" w:rsidRDefault="006169CF" w:rsidP="006169CF">
      <w:pPr>
        <w:ind w:left="720"/>
      </w:pPr>
      <w:bookmarkStart w:id="208" w:name="_Toc535520488"/>
      <w:bookmarkStart w:id="209" w:name="_Toc535845901"/>
      <w:r w:rsidRPr="00BA1239">
        <w:rPr>
          <w:rStyle w:val="Heading3Char"/>
        </w:rPr>
        <w:t>Lumbar vertebrae</w:t>
      </w:r>
      <w:bookmarkEnd w:id="208"/>
      <w:bookmarkEnd w:id="209"/>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10" w:name="_Toc535520489"/>
      <w:bookmarkStart w:id="211" w:name="_Toc535845902"/>
      <w:r w:rsidRPr="00BA1239">
        <w:rPr>
          <w:rStyle w:val="Heading3Char"/>
        </w:rPr>
        <w:t>Sacral vertebrae</w:t>
      </w:r>
      <w:bookmarkEnd w:id="210"/>
      <w:bookmarkEnd w:id="211"/>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12" w:name="_Toc535520490"/>
      <w:bookmarkStart w:id="213" w:name="_Toc535845903"/>
      <w:r w:rsidRPr="00BA1239">
        <w:rPr>
          <w:rStyle w:val="Heading3Char"/>
        </w:rPr>
        <w:t>Caudal vertebrae</w:t>
      </w:r>
      <w:bookmarkEnd w:id="212"/>
      <w:bookmarkEnd w:id="213"/>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14" w:name="_Toc535520491"/>
      <w:bookmarkStart w:id="215" w:name="_Toc535845904"/>
      <w:r w:rsidRPr="00BA1239">
        <w:t>Vertebrate anatomical directions and axes</w:t>
      </w:r>
      <w:bookmarkEnd w:id="214"/>
      <w:bookmarkEnd w:id="215"/>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16" w:name="_Vestigial"/>
      <w:bookmarkStart w:id="217" w:name="_Toc535520492"/>
      <w:bookmarkStart w:id="218" w:name="_Toc535845905"/>
      <w:bookmarkEnd w:id="216"/>
      <w:r w:rsidRPr="00BA1239">
        <w:t>Vestigial</w:t>
      </w:r>
      <w:bookmarkEnd w:id="217"/>
      <w:bookmarkEnd w:id="218"/>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19" w:name="_Toc535520493"/>
      <w:bookmarkStart w:id="220" w:name="_Toc535845906"/>
      <w:r w:rsidRPr="00BA1239">
        <w:t>Z</w:t>
      </w:r>
      <w:bookmarkEnd w:id="219"/>
      <w:bookmarkEnd w:id="220"/>
      <w:r w:rsidRPr="00BA1239">
        <w:cr/>
      </w:r>
    </w:p>
    <w:p w:rsidR="006169CF" w:rsidRPr="00BA1239" w:rsidRDefault="006169CF" w:rsidP="00BA1239">
      <w:pPr>
        <w:pStyle w:val="Heading3"/>
      </w:pPr>
      <w:bookmarkStart w:id="221" w:name="_Toc535520494"/>
      <w:bookmarkStart w:id="222" w:name="_Toc535845907"/>
      <w:r w:rsidRPr="00BA1239">
        <w:t>Zygapophysis</w:t>
      </w:r>
      <w:bookmarkEnd w:id="221"/>
      <w:bookmarkEnd w:id="222"/>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Plural = zygapophyses</w:t>
      </w:r>
    </w:p>
    <w:p w:rsidR="00287698" w:rsidRPr="00BA1239" w:rsidRDefault="00287698" w:rsidP="006169CF"/>
    <w:sectPr w:rsidR="00287698" w:rsidRPr="00BA1239">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532CF9">
          <w:rPr>
            <w:i/>
            <w:noProof/>
            <w:color w:val="7F7F7F" w:themeColor="text1" w:themeTint="80"/>
          </w:rPr>
          <w:t>1</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84769"/>
    <w:rsid w:val="0008581C"/>
    <w:rsid w:val="000E5774"/>
    <w:rsid w:val="000F3A34"/>
    <w:rsid w:val="0010094F"/>
    <w:rsid w:val="00195461"/>
    <w:rsid w:val="002452E2"/>
    <w:rsid w:val="00287698"/>
    <w:rsid w:val="002A3B5B"/>
    <w:rsid w:val="002A6BB5"/>
    <w:rsid w:val="002D3EB0"/>
    <w:rsid w:val="00314013"/>
    <w:rsid w:val="003730D8"/>
    <w:rsid w:val="003A152C"/>
    <w:rsid w:val="00441238"/>
    <w:rsid w:val="0046365C"/>
    <w:rsid w:val="00513FC0"/>
    <w:rsid w:val="00532267"/>
    <w:rsid w:val="00532CF9"/>
    <w:rsid w:val="0055080A"/>
    <w:rsid w:val="00591F43"/>
    <w:rsid w:val="005C4C18"/>
    <w:rsid w:val="005F5362"/>
    <w:rsid w:val="0061411D"/>
    <w:rsid w:val="006169CF"/>
    <w:rsid w:val="00635E14"/>
    <w:rsid w:val="0067748A"/>
    <w:rsid w:val="00724574"/>
    <w:rsid w:val="00764C96"/>
    <w:rsid w:val="007C0B86"/>
    <w:rsid w:val="00847445"/>
    <w:rsid w:val="008911ED"/>
    <w:rsid w:val="008B131B"/>
    <w:rsid w:val="00911AE6"/>
    <w:rsid w:val="0092076C"/>
    <w:rsid w:val="009629E3"/>
    <w:rsid w:val="00A20AFE"/>
    <w:rsid w:val="00B1372C"/>
    <w:rsid w:val="00B85E2E"/>
    <w:rsid w:val="00BA1239"/>
    <w:rsid w:val="00BD6EDD"/>
    <w:rsid w:val="00C2077C"/>
    <w:rsid w:val="00DA700C"/>
    <w:rsid w:val="00DF51EA"/>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BB17"/>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image" Target="media/image24.png"/><Relationship Id="rId50" Type="http://schemas.openxmlformats.org/officeDocument/2006/relationships/image" Target="media/image26.png"/><Relationship Id="rId55"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image" Target="media/image22.png"/><Relationship Id="rId53" Type="http://schemas.openxmlformats.org/officeDocument/2006/relationships/hyperlink" Target="http://www.ucl.ac.uk/museums-static/obl4he/vertebratediversity/frogs_and_toads.html"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hyperlink" Target="http://www.ucl.ac.uk/museums-static/obl4he/vertebratediversity/salamanders.html" TargetMode="External"/><Relationship Id="rId56" Type="http://schemas.openxmlformats.org/officeDocument/2006/relationships/hyperlink" Target="http://www.ucl.ac.uk/museums-static/obl4he/vertebratepalaeo/glossary.html" TargetMode="External"/><Relationship Id="rId8" Type="http://schemas.openxmlformats.org/officeDocument/2006/relationships/hyperlink" Target="https://open-education-repository.ucl.ac.uk/id/eprint/204" TargetMode="External"/><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3.png"/><Relationship Id="rId59"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image" Target="media/image25.png"/><Relationship Id="rId57" Type="http://schemas.openxmlformats.org/officeDocument/2006/relationships/image" Target="media/image31.jpeg"/><Relationship Id="rId10" Type="http://schemas.openxmlformats.org/officeDocument/2006/relationships/image" Target="media/image1.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caecilians.html" TargetMode="External"/><Relationship Id="rId52" Type="http://schemas.openxmlformats.org/officeDocument/2006/relationships/image" Target="media/image28.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ECD4-0301-4D25-B08E-B0BB416E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17</Pages>
  <Words>4949</Words>
  <Characters>28213</Characters>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2019-01-21T15:10:00Z</dcterms:modified>
</cp:coreProperties>
</file>